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rFonts w:ascii="黑体" w:hAnsi="黑体" w:eastAsia="黑体"/>
          <w:b/>
          <w:sz w:val="36"/>
        </w:rPr>
        <w:t>T5 公共热身：三方法对比初探</w:t>
      </w:r>
    </w:p>
    <w:p>
      <w:r>
        <w:rPr>
          <w:rFonts w:ascii="宋体" w:hAnsi="宋体" w:eastAsia="宋体"/>
        </w:rPr>
        <w:t>课程/小组：知识图谱技术与应用 · 网络工程实践（T5 公共热身）</w:t>
      </w:r>
    </w:p>
    <w:p>
      <w:r>
        <w:rPr>
          <w:rFonts w:ascii="宋体" w:hAnsi="宋体" w:eastAsia="宋体"/>
        </w:rPr>
        <w:t>日期：2026-10-21</w:t>
      </w:r>
    </w:p>
    <w:p>
      <w:r>
        <w:rPr>
          <w:rFonts w:ascii="宋体" w:hAnsi="宋体" w:eastAsia="宋体"/>
        </w:rPr>
        <w:t>配套材料：</w:t>
      </w:r>
      <w:r>
        <w:rPr>
          <w:rFonts w:ascii="宋体" w:hAnsi="宋体" w:eastAsia="宋体"/>
          <w:color w:val="9C270B"/>
          <w:sz w:val="17"/>
        </w:rPr>
        <w:t>report/T5公共热身-运行日志.txt</w:t>
      </w:r>
      <w:r>
        <w:rPr>
          <w:rFonts w:ascii="宋体" w:hAnsi="宋体" w:eastAsia="宋体"/>
        </w:rPr>
        <w:t>、</w:t>
      </w:r>
      <w:r>
        <w:rPr>
          <w:rFonts w:ascii="宋体" w:hAnsi="宋体" w:eastAsia="宋体"/>
          <w:color w:val="9C270B"/>
          <w:sz w:val="17"/>
        </w:rPr>
        <w:t>scripts/run_t5.cmd</w:t>
      </w:r>
    </w:p>
    <w:p>
      <w:pPr>
        <w:pStyle w:val="Heading1"/>
      </w:pPr>
      <w:r>
        <w:rPr>
          <w:rFonts w:ascii="黑体" w:hAnsi="黑体" w:eastAsia="黑体"/>
          <w:color w:val="000000"/>
        </w:rPr>
        <w:t>1. 热身目标与语料</w:t>
      </w:r>
    </w:p>
    <w:p>
      <w:r>
        <w:rPr>
          <w:rFonts w:ascii="宋体" w:hAnsi="宋体" w:eastAsia="宋体"/>
        </w:rPr>
        <w:t>在正式做题目二之前，先用脚手架自带的 T5（TCP/IP 协议栈与 RFC 规范）把"本体 → 三方法抽取 → 融合 → 建图 → 评测 → KG 问答"整条链路跑一遍，暴露工程问题。语料为 5 篇公开 RFC（2119、768、791、8200、9293），共 473,914 字节、11,271 行；本体 11 类、13 个关系，自检 0 问题；抽样金标准 23 个实体、18 条关系。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2. 一键运行</w:t>
      </w:r>
    </w:p>
    <w:p>
      <w:pPr>
        <w:spacing w:before="60" w:after="80" w:line="240" w:lineRule="auto"/>
        <w:ind w:left="170"/>
        <w:shd w:val="clear" w:fill="F4F4F4"/>
      </w:pPr>
      <w:r>
        <w:rPr>
          <w:rFonts w:ascii="Consolas" w:hAnsi="Consolas"/>
          <w:sz w:val="17"/>
        </w:rPr>
        <w:t>scripts\run_t5.cmd</w:t>
      </w:r>
    </w:p>
    <w:p>
      <w:r>
        <w:rPr>
          <w:rFonts w:ascii="宋体" w:hAnsi="宋体" w:eastAsia="宋体"/>
        </w:rPr>
        <w:t>脚本依次执行本体生成与自检、方法 A（规则/词典）、方法 B（字符级 BIO 序列标注 + 关系分类）、方法 C（本体约束 LLM，读取已保存输出）、融合、建图、金标准检查与评测、8 题 KG 问答、MCP 冒烟测试。运行环境 Python 3.14.4，全程退出码 0，MCP 4 个工具全部通过。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3. 三方法对比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19"/>
        <w:gridCol w:w="1219"/>
        <w:gridCol w:w="1219"/>
        <w:gridCol w:w="1219"/>
        <w:gridCol w:w="1219"/>
        <w:gridCol w:w="1219"/>
        <w:gridCol w:w="1219"/>
        <w:gridCol w:w="1219"/>
      </w:tblGrid>
      <w:tr>
        <w:trPr>
          <w:tblHeader w:val="true"/>
          <w:cantSplit w:val="true"/>
        </w:trPr>
        <w:tc>
          <w:tcPr>
            <w:tcW w:type="dxa" w:w="1219"/>
            <w:shd w:val="clear" w:color="auto" w:fill="E7E6E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方法</w:t>
            </w:r>
          </w:p>
        </w:tc>
        <w:tc>
          <w:tcPr>
            <w:tcW w:type="dxa" w:w="1219"/>
            <w:shd w:val="clear" w:color="auto" w:fill="E7E6E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实体 P</w:t>
            </w:r>
          </w:p>
        </w:tc>
        <w:tc>
          <w:tcPr>
            <w:tcW w:type="dxa" w:w="1219"/>
            <w:shd w:val="clear" w:color="auto" w:fill="E7E6E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实体 R</w:t>
            </w:r>
          </w:p>
        </w:tc>
        <w:tc>
          <w:tcPr>
            <w:tcW w:type="dxa" w:w="1219"/>
            <w:shd w:val="clear" w:color="auto" w:fill="E7E6E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实体 F1</w:t>
            </w:r>
          </w:p>
        </w:tc>
        <w:tc>
          <w:tcPr>
            <w:tcW w:type="dxa" w:w="1219"/>
            <w:shd w:val="clear" w:color="auto" w:fill="E7E6E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三元组 P</w:t>
            </w:r>
          </w:p>
        </w:tc>
        <w:tc>
          <w:tcPr>
            <w:tcW w:type="dxa" w:w="1219"/>
            <w:shd w:val="clear" w:color="auto" w:fill="E7E6E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三元组 R</w:t>
            </w:r>
          </w:p>
        </w:tc>
        <w:tc>
          <w:tcPr>
            <w:tcW w:type="dxa" w:w="1219"/>
            <w:shd w:val="clear" w:color="auto" w:fill="E7E6E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三元组 F1</w:t>
            </w:r>
          </w:p>
        </w:tc>
        <w:tc>
          <w:tcPr>
            <w:tcW w:type="dxa" w:w="1219"/>
            <w:shd w:val="clear" w:color="auto" w:fill="E7E6E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证据覆盖率</w:t>
            </w:r>
          </w:p>
        </w:tc>
      </w:tr>
      <w:tr>
        <w:trPr>
          <w:cantSplit w:val="true"/>
        </w:trPr>
        <w:tc>
          <w:tcPr>
            <w:tcW w:type="dxa" w:w="1219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A 规则/词典</w:t>
            </w:r>
          </w:p>
        </w:tc>
        <w:tc>
          <w:tcPr>
            <w:tcW w:type="dxa" w:w="1219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0.0769</w:t>
            </w:r>
          </w:p>
        </w:tc>
        <w:tc>
          <w:tcPr>
            <w:tcW w:type="dxa" w:w="1219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0.9565</w:t>
            </w:r>
          </w:p>
        </w:tc>
        <w:tc>
          <w:tcPr>
            <w:tcW w:type="dxa" w:w="1219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0.1424</w:t>
            </w:r>
          </w:p>
        </w:tc>
        <w:tc>
          <w:tcPr>
            <w:tcW w:type="dxa" w:w="1219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0.1429</w:t>
            </w:r>
          </w:p>
        </w:tc>
        <w:tc>
          <w:tcPr>
            <w:tcW w:type="dxa" w:w="1219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0.2778</w:t>
            </w:r>
          </w:p>
        </w:tc>
        <w:tc>
          <w:tcPr>
            <w:tcW w:type="dxa" w:w="1219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0.1887</w:t>
            </w:r>
          </w:p>
        </w:tc>
        <w:tc>
          <w:tcPr>
            <w:tcW w:type="dxa" w:w="1219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1.0</w:t>
            </w:r>
          </w:p>
        </w:tc>
      </w:tr>
      <w:tr>
        <w:trPr>
          <w:cantSplit w:val="true"/>
        </w:trPr>
        <w:tc>
          <w:tcPr>
            <w:tcW w:type="dxa" w:w="1219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B 序列标注</w:t>
            </w:r>
          </w:p>
        </w:tc>
        <w:tc>
          <w:tcPr>
            <w:tcW w:type="dxa" w:w="1219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0.0691</w:t>
            </w:r>
          </w:p>
        </w:tc>
        <w:tc>
          <w:tcPr>
            <w:tcW w:type="dxa" w:w="1219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0.8261</w:t>
            </w:r>
          </w:p>
        </w:tc>
        <w:tc>
          <w:tcPr>
            <w:tcW w:type="dxa" w:w="1219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0.1275</w:t>
            </w:r>
          </w:p>
        </w:tc>
        <w:tc>
          <w:tcPr>
            <w:tcW w:type="dxa" w:w="1219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0.0296</w:t>
            </w:r>
          </w:p>
        </w:tc>
        <w:tc>
          <w:tcPr>
            <w:tcW w:type="dxa" w:w="1219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0.2222</w:t>
            </w:r>
          </w:p>
        </w:tc>
        <w:tc>
          <w:tcPr>
            <w:tcW w:type="dxa" w:w="1219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0.0523</w:t>
            </w:r>
          </w:p>
        </w:tc>
        <w:tc>
          <w:tcPr>
            <w:tcW w:type="dxa" w:w="1219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1.0</w:t>
            </w:r>
          </w:p>
        </w:tc>
      </w:tr>
      <w:tr>
        <w:trPr>
          <w:cantSplit w:val="true"/>
        </w:trPr>
        <w:tc>
          <w:tcPr>
            <w:tcW w:type="dxa" w:w="1219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C 本体约束 LLM</w:t>
            </w:r>
          </w:p>
        </w:tc>
        <w:tc>
          <w:tcPr>
            <w:tcW w:type="dxa" w:w="1219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0.6286</w:t>
            </w:r>
          </w:p>
        </w:tc>
        <w:tc>
          <w:tcPr>
            <w:tcW w:type="dxa" w:w="1219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0.9565</w:t>
            </w:r>
          </w:p>
        </w:tc>
        <w:tc>
          <w:tcPr>
            <w:tcW w:type="dxa" w:w="1219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0.7586</w:t>
            </w:r>
          </w:p>
        </w:tc>
        <w:tc>
          <w:tcPr>
            <w:tcW w:type="dxa" w:w="1219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0.5161</w:t>
            </w:r>
          </w:p>
        </w:tc>
        <w:tc>
          <w:tcPr>
            <w:tcW w:type="dxa" w:w="1219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0.8889</w:t>
            </w:r>
          </w:p>
        </w:tc>
        <w:tc>
          <w:tcPr>
            <w:tcW w:type="dxa" w:w="1219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6"/>
              </w:rPr>
              <w:t>0.6531</w:t>
            </w:r>
          </w:p>
        </w:tc>
        <w:tc>
          <w:tcPr>
            <w:tcW w:type="dxa" w:w="1219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1.0</w:t>
            </w:r>
          </w:p>
        </w:tc>
      </w:tr>
      <w:tr>
        <w:trPr>
          <w:cantSplit w:val="true"/>
        </w:trPr>
        <w:tc>
          <w:tcPr>
            <w:tcW w:type="dxa" w:w="1219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融合</w:t>
            </w:r>
          </w:p>
        </w:tc>
        <w:tc>
          <w:tcPr>
            <w:tcW w:type="dxa" w:w="1219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0.0647</w:t>
            </w:r>
          </w:p>
        </w:tc>
        <w:tc>
          <w:tcPr>
            <w:tcW w:type="dxa" w:w="1219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0.8696</w:t>
            </w:r>
          </w:p>
        </w:tc>
        <w:tc>
          <w:tcPr>
            <w:tcW w:type="dxa" w:w="1219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0.1205</w:t>
            </w:r>
          </w:p>
        </w:tc>
        <w:tc>
          <w:tcPr>
            <w:tcW w:type="dxa" w:w="1219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0.1585</w:t>
            </w:r>
          </w:p>
        </w:tc>
        <w:tc>
          <w:tcPr>
            <w:tcW w:type="dxa" w:w="1219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0.7222</w:t>
            </w:r>
          </w:p>
        </w:tc>
        <w:tc>
          <w:tcPr>
            <w:tcW w:type="dxa" w:w="1219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0.2600</w:t>
            </w:r>
          </w:p>
        </w:tc>
        <w:tc>
          <w:tcPr>
            <w:tcW w:type="dxa" w:w="1219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6"/>
              </w:rPr>
              <w:t>1.0</w:t>
            </w:r>
          </w:p>
        </w:tc>
      </w:tr>
    </w:tbl>
    <w:p>
      <w:pPr>
        <w:spacing w:after="40" w:line="144" w:lineRule="auto"/>
      </w:pPr>
    </w:p>
    <w:p>
      <w:r>
        <w:rPr>
          <w:rFonts w:ascii="宋体" w:hAnsi="宋体" w:eastAsia="宋体"/>
        </w:rPr>
        <w:t>金标准只有 18 条关系，precision 是</w:t>
      </w:r>
      <w:r>
        <w:rPr>
          <w:rFonts w:ascii="宋体" w:hAnsi="宋体" w:eastAsia="宋体"/>
          <w:b/>
        </w:rPr>
        <w:t>下界</w:t>
      </w:r>
      <w:r>
        <w:rPr>
          <w:rFonts w:ascii="宋体" w:hAnsi="宋体" w:eastAsia="宋体"/>
        </w:rPr>
        <w:t>：方法抽出的、金标准未收录的正确知识也会被记为误报，因此本表只用于横向比较，不代表最终抽取质量。</w:t>
      </w:r>
    </w:p>
    <w:p>
      <w:r>
        <w:rPr>
          <w:rFonts w:ascii="宋体" w:hAnsi="宋体" w:eastAsia="宋体"/>
        </w:rPr>
        <w:t>三方法的失败模式差异明显：</w:t>
      </w:r>
    </w:p>
    <w:p>
      <w:pPr>
        <w:pStyle w:val="ListBullet"/>
        <w:spacing w:after="20"/>
      </w:pPr>
      <w:r>
        <w:rPr>
          <w:rFonts w:ascii="宋体" w:hAnsi="宋体" w:eastAsia="宋体"/>
          <w:b/>
        </w:rPr>
        <w:t>A</w:t>
      </w:r>
      <w:r>
        <w:rPr>
          <w:rFonts w:ascii="宋体" w:hAnsi="宋体" w:eastAsia="宋体"/>
        </w:rPr>
        <w:t xml:space="preserve"> 召回最高（实体 0.9565），但把正文里出现的每个 RFC 编号、章节标题都当成实体，384 个实体对 23 个金标准实体，精度被摊薄到 0.0769。规则方法的成本最低，但"宁多勿少"的词典匹配需要后置过滤。</w:t>
      </w:r>
    </w:p>
    <w:p>
      <w:pPr>
        <w:pStyle w:val="ListBullet"/>
        <w:spacing w:after="20"/>
      </w:pPr>
      <w:r>
        <w:rPr>
          <w:rFonts w:ascii="宋体" w:hAnsi="宋体" w:eastAsia="宋体"/>
          <w:b/>
        </w:rPr>
        <w:t>B</w:t>
      </w:r>
      <w:r>
        <w:rPr>
          <w:rFonts w:ascii="宋体" w:hAnsi="宋体" w:eastAsia="宋体"/>
        </w:rPr>
        <w:t xml:space="preserve"> 抽出 3,473 个实体、521 条关系，实体精度 0.0691。字符级 BIO 在 RFC 的目录行、页眉和长标题上大量误切，说明"序列标注 + 高阈值"并不能代替领域边界定义；训练句仅 612 句，留出文档为 rfc9293。</w:t>
      </w:r>
    </w:p>
    <w:p>
      <w:pPr>
        <w:pStyle w:val="ListBullet"/>
        <w:spacing w:after="20"/>
      </w:pPr>
      <w:r>
        <w:rPr>
          <w:rFonts w:ascii="宋体" w:hAnsi="宋体" w:eastAsia="宋体"/>
          <w:b/>
        </w:rPr>
        <w:t>C</w:t>
      </w:r>
      <w:r>
        <w:rPr>
          <w:rFonts w:ascii="宋体" w:hAnsi="宋体" w:eastAsia="宋体"/>
        </w:rPr>
        <w:t xml:space="preserve"> 只输出 41 个实体、31 条关系，四项 P/R/F1 均为最高，证据覆盖 31/31、越界 0。但其输出是预先生成并保存的文件，本表没有计入调用时延与费用；小样本上 LLM 的优势也不能直接外推。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4. 融合、质量门与投票可信度</w:t>
      </w:r>
    </w:p>
    <w:p>
      <w:r>
        <w:rPr>
          <w:rFonts w:ascii="宋体" w:hAnsi="宋体" w:eastAsia="宋体"/>
        </w:rPr>
        <w:t xml:space="preserve">融合按 </w:t>
      </w:r>
      <w:r>
        <w:rPr>
          <w:rFonts w:ascii="宋体" w:hAnsi="宋体" w:eastAsia="宋体"/>
          <w:color w:val="9C270B"/>
          <w:sz w:val="17"/>
        </w:rPr>
        <w:t>(头, 关系, 尾)</w:t>
      </w:r>
      <w:r>
        <w:rPr>
          <w:rFonts w:ascii="宋体" w:hAnsi="宋体" w:eastAsia="宋体"/>
        </w:rPr>
        <w:t xml:space="preserve"> 去重投票，权重为规则 1.0、模型 0.8、LLM 1.2。质量门丢弃 218 条标签不合法、1 条受控词表外条目；1 条域/值域违规边降权 0.5 倍但保留。对齐后 309 个实体、487 条三元组。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  <w:cantSplit w:val="true"/>
        </w:trPr>
        <w:tc>
          <w:tcPr>
            <w:tcW w:type="dxa" w:w="1950"/>
            <w:shd w:val="clear" w:color="auto" w:fill="E7E6E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命中方法数</w:t>
            </w:r>
          </w:p>
        </w:tc>
        <w:tc>
          <w:tcPr>
            <w:tcW w:type="dxa" w:w="1950"/>
            <w:shd w:val="clear" w:color="auto" w:fill="E7E6E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三元组数</w:t>
            </w:r>
          </w:p>
        </w:tc>
        <w:tc>
          <w:tcPr>
            <w:tcW w:type="dxa" w:w="1950"/>
            <w:shd w:val="clear" w:color="auto" w:fill="E7E6E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精确率</w:t>
            </w:r>
          </w:p>
        </w:tc>
        <w:tc>
          <w:tcPr>
            <w:tcW w:type="dxa" w:w="1950"/>
            <w:shd w:val="clear" w:color="auto" w:fill="E7E6E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召回</w:t>
            </w:r>
          </w:p>
        </w:tc>
        <w:tc>
          <w:tcPr>
            <w:tcW w:type="dxa" w:w="1950"/>
            <w:shd w:val="clear" w:color="auto" w:fill="E7E6E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F1</w:t>
            </w:r>
          </w:p>
        </w:tc>
      </w:tr>
      <w:tr>
        <w:trPr>
          <w:cantSplit w:val="true"/>
        </w:trPr>
        <w:tc>
          <w:tcPr>
            <w:tcW w:type="dxa" w:w="1950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1 票</w:t>
            </w:r>
          </w:p>
        </w:tc>
        <w:tc>
          <w:tcPr>
            <w:tcW w:type="dxa" w:w="1950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57</w:t>
            </w:r>
          </w:p>
        </w:tc>
        <w:tc>
          <w:tcPr>
            <w:tcW w:type="dxa" w:w="1950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0.1404</w:t>
            </w:r>
          </w:p>
        </w:tc>
        <w:tc>
          <w:tcPr>
            <w:tcW w:type="dxa" w:w="1950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0.4444</w:t>
            </w:r>
          </w:p>
        </w:tc>
        <w:tc>
          <w:tcPr>
            <w:tcW w:type="dxa" w:w="1950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0.2133</w:t>
            </w:r>
          </w:p>
        </w:tc>
      </w:tr>
      <w:tr>
        <w:trPr>
          <w:cantSplit w:val="true"/>
        </w:trPr>
        <w:tc>
          <w:tcPr>
            <w:tcW w:type="dxa" w:w="1950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2 票</w:t>
            </w:r>
          </w:p>
        </w:tc>
        <w:tc>
          <w:tcPr>
            <w:tcW w:type="dxa" w:w="1950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21</w:t>
            </w:r>
          </w:p>
        </w:tc>
        <w:tc>
          <w:tcPr>
            <w:tcW w:type="dxa" w:w="1950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0.0952</w:t>
            </w:r>
          </w:p>
        </w:tc>
        <w:tc>
          <w:tcPr>
            <w:tcW w:type="dxa" w:w="1950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0.1111</w:t>
            </w:r>
          </w:p>
        </w:tc>
        <w:tc>
          <w:tcPr>
            <w:tcW w:type="dxa" w:w="1950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0.1026</w:t>
            </w:r>
          </w:p>
        </w:tc>
      </w:tr>
      <w:tr>
        <w:trPr>
          <w:cantSplit w:val="true"/>
        </w:trPr>
        <w:tc>
          <w:tcPr>
            <w:tcW w:type="dxa" w:w="1950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3 票</w:t>
            </w:r>
          </w:p>
        </w:tc>
        <w:tc>
          <w:tcPr>
            <w:tcW w:type="dxa" w:w="1950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4</w:t>
            </w:r>
          </w:p>
        </w:tc>
        <w:tc>
          <w:tcPr>
            <w:tcW w:type="dxa" w:w="1950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0.7500</w:t>
            </w:r>
          </w:p>
        </w:tc>
        <w:tc>
          <w:tcPr>
            <w:tcW w:type="dxa" w:w="1950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0.1667</w:t>
            </w:r>
          </w:p>
        </w:tc>
        <w:tc>
          <w:tcPr>
            <w:tcW w:type="dxa" w:w="1950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0.2727</w:t>
            </w:r>
          </w:p>
        </w:tc>
      </w:tr>
    </w:tbl>
    <w:p>
      <w:pPr>
        <w:spacing w:after="40" w:line="144" w:lineRule="auto"/>
      </w:pPr>
    </w:p>
    <w:p>
      <w:r>
        <w:rPr>
          <w:rFonts w:ascii="宋体" w:hAnsi="宋体" w:eastAsia="宋体"/>
        </w:rPr>
        <w:t>3 票精度 0.75 说明"多方法一致"确实能筛出高可信边，但只有 4 条，覆盖率极低；2 票精度反而低于 1 票，因为规则与模型在"RFC 编号/章节标题"上的错误高度相关，投票把同一类噪声重复计数。结论是：</w:t>
      </w:r>
      <w:r>
        <w:rPr>
          <w:rFonts w:ascii="宋体" w:hAnsi="宋体" w:eastAsia="宋体"/>
          <w:b/>
        </w:rPr>
        <w:t>投票数只有在实体归一化做对之后才等于置信度</w:t>
      </w:r>
      <w:r>
        <w:rPr>
          <w:rFonts w:ascii="宋体" w:hAnsi="宋体" w:eastAsia="宋体"/>
        </w:rPr>
        <w:t>，这直接决定了题目二必须用官方 ID 做一级键，而不是按字符串投票。</w:t>
      </w:r>
    </w:p>
    <w:p>
      <w:r>
        <w:rPr>
          <w:rFonts w:ascii="宋体" w:hAnsi="宋体" w:eastAsia="宋体"/>
        </w:rPr>
        <w:t>图谱结构也暴露了一个具体缺陷：</w:t>
      </w:r>
      <w:r>
        <w:rPr>
          <w:rFonts w:ascii="宋体" w:hAnsi="宋体" w:eastAsia="宋体"/>
          <w:color w:val="9C270B"/>
          <w:sz w:val="17"/>
        </w:rPr>
        <w:t>RFC:rfc8200</w:t>
      </w:r>
      <w:r>
        <w:rPr>
          <w:rFonts w:ascii="宋体" w:hAnsi="宋体" w:eastAsia="宋体"/>
        </w:rPr>
        <w:t xml:space="preserve"> 节点存在，但 </w:t>
      </w:r>
      <w:r>
        <w:rPr>
          <w:rFonts w:ascii="宋体" w:hAnsi="宋体" w:eastAsia="宋体"/>
          <w:color w:val="9C270B"/>
          <w:sz w:val="17"/>
        </w:rPr>
        <w:t>obsoletes</w:t>
      </w:r>
      <w:r>
        <w:rPr>
          <w:rFonts w:ascii="宋体" w:hAnsi="宋体" w:eastAsia="宋体"/>
        </w:rPr>
        <w:t xml:space="preserve"> 边的源端却落在裸 </w:t>
      </w:r>
      <w:r>
        <w:rPr>
          <w:rFonts w:ascii="宋体" w:hAnsi="宋体" w:eastAsia="宋体"/>
          <w:color w:val="9C270B"/>
          <w:sz w:val="17"/>
        </w:rPr>
        <w:t>rfc</w:t>
      </w:r>
      <w:r>
        <w:rPr>
          <w:rFonts w:ascii="宋体" w:hAnsi="宋体" w:eastAsia="宋体"/>
        </w:rPr>
        <w:t xml:space="preserve"> 节点上，形成 </w:t>
      </w:r>
      <w:r>
        <w:rPr>
          <w:rFonts w:ascii="宋体" w:hAnsi="宋体" w:eastAsia="宋体"/>
          <w:color w:val="9C270B"/>
          <w:sz w:val="17"/>
        </w:rPr>
        <w:t>RFC:rfc</w:t>
      </w:r>
      <w:r>
        <w:rPr>
          <w:rFonts w:ascii="宋体" w:hAnsi="宋体" w:eastAsia="宋体"/>
        </w:rPr>
        <w:t xml:space="preserve"> 垃圾枢纽，且 </w:t>
      </w:r>
      <w:r>
        <w:rPr>
          <w:rFonts w:ascii="宋体" w:hAnsi="宋体" w:eastAsia="宋体"/>
          <w:color w:val="9C270B"/>
          <w:sz w:val="17"/>
        </w:rPr>
        <w:t>rfc2460 obsoletes rfc</w:t>
      </w:r>
      <w:r>
        <w:rPr>
          <w:rFonts w:ascii="宋体" w:hAnsi="宋体" w:eastAsia="宋体"/>
        </w:rPr>
        <w:t xml:space="preserve"> 方向明显反了。这是"没有官方 ID 约束、按文本表面建边"的典型后果。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5. KG 问答初探</w:t>
      </w:r>
    </w:p>
    <w:p>
      <w:r>
        <w:rPr>
          <w:rFonts w:ascii="宋体" w:hAnsi="宋体" w:eastAsia="宋体"/>
        </w:rPr>
        <w:t>8 道题中可回答率 0.5，平均三元组覆盖率 0.3334。按题型归并：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  <w:cantSplit w:val="true"/>
        </w:trPr>
        <w:tc>
          <w:tcPr>
            <w:tcW w:type="dxa" w:w="2438"/>
            <w:shd w:val="clear" w:color="auto" w:fill="E7E6E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题型</w:t>
            </w:r>
          </w:p>
        </w:tc>
        <w:tc>
          <w:tcPr>
            <w:tcW w:type="dxa" w:w="2438"/>
            <w:shd w:val="clear" w:color="auto" w:fill="E7E6E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题数</w:t>
            </w:r>
          </w:p>
        </w:tc>
        <w:tc>
          <w:tcPr>
            <w:tcW w:type="dxa" w:w="2438"/>
            <w:shd w:val="clear" w:color="auto" w:fill="E7E6E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覆盖率</w:t>
            </w:r>
          </w:p>
        </w:tc>
        <w:tc>
          <w:tcPr>
            <w:tcW w:type="dxa" w:w="2438"/>
            <w:shd w:val="clear" w:color="auto" w:fill="E7E6E6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观察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首部字段（TCP/IPv6/UDP）</w:t>
            </w:r>
          </w:p>
        </w:tc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3</w:t>
            </w:r>
          </w:p>
        </w:tc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0.667–1.0</w:t>
            </w:r>
          </w:p>
        </w:tc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字段边能检索到；预置答案中夹带的假句被验证器逐句抓出，幻觉率 0.5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官方编号（RFC 8200/RFC 9293）</w:t>
            </w:r>
          </w:p>
        </w:tc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0</w:t>
            </w:r>
          </w:p>
        </w:tc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 xml:space="preserve">问句关键词被拆成 </w:t>
            </w:r>
            <w:r>
              <w:rPr>
                <w:rFonts w:ascii="宋体" w:hAnsi="宋体" w:eastAsia="宋体"/>
                <w:color w:val="9C270B"/>
                <w:sz w:val="17"/>
              </w:rPr>
              <w:t>RFC</w:t>
            </w:r>
            <w:r>
              <w:rPr>
                <w:rFonts w:ascii="宋体" w:hAnsi="宋体" w:eastAsia="宋体"/>
                <w:sz w:val="17"/>
              </w:rPr>
              <w:t xml:space="preserve"> 与 </w:t>
            </w:r>
            <w:r>
              <w:rPr>
                <w:rFonts w:ascii="宋体" w:hAnsi="宋体" w:eastAsia="宋体"/>
                <w:color w:val="9C270B"/>
                <w:sz w:val="17"/>
              </w:rPr>
              <w:t>8200</w:t>
            </w:r>
            <w:r>
              <w:rPr>
                <w:rFonts w:ascii="宋体" w:hAnsi="宋体" w:eastAsia="宋体"/>
                <w:sz w:val="17"/>
              </w:rPr>
              <w:t>，RFC 节点根本没进候选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分层/关系（TCP 所在层、TCP–传输层）</w:t>
            </w:r>
          </w:p>
        </w:tc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0</w:t>
            </w:r>
          </w:p>
        </w:tc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 xml:space="preserve">图里存在 </w:t>
            </w:r>
            <w:r>
              <w:rPr>
                <w:rFonts w:ascii="宋体" w:hAnsi="宋体" w:eastAsia="宋体"/>
                <w:color w:val="9C270B"/>
                <w:sz w:val="17"/>
              </w:rPr>
              <w:t>TCP --operates_at--&gt; Transport Layer</w:t>
            </w:r>
            <w:r>
              <w:rPr>
                <w:rFonts w:ascii="宋体" w:hAnsi="宋体" w:eastAsia="宋体"/>
                <w:sz w:val="17"/>
              </w:rPr>
              <w:t xml:space="preserve">，但被 15 条高置信 </w:t>
            </w:r>
            <w:r>
              <w:rPr>
                <w:rFonts w:ascii="宋体" w:hAnsi="宋体" w:eastAsia="宋体"/>
                <w:color w:val="9C270B"/>
                <w:sz w:val="17"/>
              </w:rPr>
              <w:t>has_field</w:t>
            </w:r>
            <w:r>
              <w:rPr>
                <w:rFonts w:ascii="宋体" w:hAnsi="宋体" w:eastAsia="宋体"/>
                <w:sz w:val="17"/>
              </w:rPr>
              <w:t xml:space="preserve"> 边挤出 top-12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图谱外（等保三级）</w:t>
            </w:r>
          </w:p>
        </w:tc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—</w:t>
            </w:r>
          </w:p>
        </w:tc>
        <w:tc>
          <w:tcPr>
            <w:tcW w:type="dxa" w:w="2438"/>
          </w:tcPr>
          <w:p>
            <w:pPr>
              <w:spacing w:after="0" w:before="0" w:line="240" w:lineRule="auto"/>
            </w:pPr>
            <w:r>
              <w:rPr>
                <w:rFonts w:ascii="宋体" w:hAnsi="宋体" w:eastAsia="宋体"/>
                <w:sz w:val="17"/>
              </w:rPr>
              <w:t>正确拒答"图谱中无此知识"，幻觉率 0</w:t>
            </w:r>
          </w:p>
        </w:tc>
      </w:tr>
    </w:tbl>
    <w:p>
      <w:pPr>
        <w:spacing w:after="40" w:line="144" w:lineRule="auto"/>
      </w:pPr>
    </w:p>
    <w:p>
      <w:r>
        <w:rPr>
          <w:rFonts w:ascii="宋体" w:hAnsi="宋体" w:eastAsia="宋体"/>
        </w:rPr>
        <w:t xml:space="preserve">两个检索缺陷都不是图谱缺边：一是 </w:t>
      </w:r>
      <w:r>
        <w:rPr>
          <w:rFonts w:ascii="宋体" w:hAnsi="宋体" w:eastAsia="宋体"/>
          <w:color w:val="9C270B"/>
          <w:sz w:val="17"/>
        </w:rPr>
        <w:t>keywords()</w:t>
      </w:r>
      <w:r>
        <w:rPr>
          <w:rFonts w:ascii="宋体" w:hAnsi="宋体" w:eastAsia="宋体"/>
        </w:rPr>
        <w:t xml:space="preserve"> 按空白切词，破坏了 "RFC 8200" 这类官方编号；二是按置信度排序后硬截断，低置信但答案相关的边被挤掉。前者说明查询解析必须保护 ID 片段，后者说明检索应按关系意图加权，而不是只看置信度。</w:t>
      </w:r>
    </w:p>
    <w:p>
      <w:r>
        <w:rPr>
          <w:rFonts w:ascii="宋体" w:hAnsi="宋体" w:eastAsia="宋体"/>
        </w:rPr>
        <w:t>验证器采用保守口径：答案句只要不能在某条检索到的三元组里找到实体与关系词支撑，就记为"未支撑"。因此"RFC 8200 取代了 RFC 2460"这类</w:t>
      </w:r>
      <w:r>
        <w:rPr>
          <w:rFonts w:ascii="宋体" w:hAnsi="宋体" w:eastAsia="宋体"/>
          <w:b/>
        </w:rPr>
        <w:t>事实正确但图谱没有对应边</w:t>
      </w:r>
      <w:r>
        <w:rPr>
          <w:rFonts w:ascii="宋体" w:hAnsi="宋体" w:eastAsia="宋体"/>
        </w:rPr>
        <w:t>的答案也会被计入幻觉率 1.0。报告里必须把"未支撑率"与"事实错误率"分开写，否则会高估幻觉。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6. 对题目二的启示</w:t>
      </w:r>
    </w:p>
    <w:p>
      <w:pPr>
        <w:spacing w:after="20"/>
        <w:ind w:left="340" w:hanging="340"/>
      </w:pPr>
      <w:r>
        <w:rPr>
          <w:b/>
        </w:rPr>
        <w:t xml:space="preserve">1. </w:t>
      </w:r>
      <w:r>
        <w:rPr>
          <w:rFonts w:ascii="宋体" w:hAnsi="宋体" w:eastAsia="宋体"/>
          <w:b/>
        </w:rPr>
        <w:t>官方 ID 先行</w:t>
      </w:r>
      <w:r>
        <w:rPr>
          <w:rFonts w:ascii="宋体" w:hAnsi="宋体" w:eastAsia="宋体"/>
        </w:rPr>
        <w:t>：先用 CVE/CWE/CPE/ATT&amp;CK 官方编号归一化，再谈投票、置信度和消歧。</w:t>
      </w:r>
    </w:p>
    <w:p>
      <w:pPr>
        <w:spacing w:after="20"/>
        <w:ind w:left="340" w:hanging="340"/>
      </w:pPr>
      <w:r>
        <w:rPr>
          <w:b/>
        </w:rPr>
        <w:t xml:space="preserve">2. </w:t>
      </w:r>
      <w:r>
        <w:rPr>
          <w:rFonts w:ascii="宋体" w:hAnsi="宋体" w:eastAsia="宋体"/>
          <w:b/>
        </w:rPr>
        <w:t>金标准与抽取解耦</w:t>
      </w:r>
      <w:r>
        <w:rPr>
          <w:rFonts w:ascii="宋体" w:hAnsi="宋体" w:eastAsia="宋体"/>
        </w:rPr>
        <w:t>：题目二的金标准从官方结构化字段全量构造，不 import 任何抽取方法，避免"用答案评答案"。</w:t>
      </w:r>
    </w:p>
    <w:p>
      <w:pPr>
        <w:spacing w:after="20"/>
        <w:ind w:left="340" w:hanging="340"/>
      </w:pPr>
      <w:r>
        <w:rPr>
          <w:b/>
        </w:rPr>
        <w:t xml:space="preserve">3. </w:t>
      </w:r>
      <w:r>
        <w:rPr>
          <w:rFonts w:ascii="宋体" w:hAnsi="宋体" w:eastAsia="宋体"/>
          <w:b/>
        </w:rPr>
        <w:t>投票不是置信度</w:t>
      </w:r>
      <w:r>
        <w:rPr>
          <w:rFonts w:ascii="宋体" w:hAnsi="宋体" w:eastAsia="宋体"/>
        </w:rPr>
        <w:t>：T5 的 2 票桶已证明，相关性错误会让票数虚高；必须叠加域/值域校验和来源权重。</w:t>
      </w:r>
    </w:p>
    <w:p>
      <w:pPr>
        <w:spacing w:after="20"/>
        <w:ind w:left="340" w:hanging="340"/>
      </w:pPr>
      <w:r>
        <w:rPr>
          <w:b/>
        </w:rPr>
        <w:t xml:space="preserve">4. </w:t>
      </w:r>
      <w:r>
        <w:rPr>
          <w:rFonts w:ascii="宋体" w:hAnsi="宋体" w:eastAsia="宋体"/>
          <w:b/>
        </w:rPr>
        <w:t>检索要识别 ID</w:t>
      </w:r>
      <w:r>
        <w:rPr>
          <w:rFonts w:ascii="宋体" w:hAnsi="宋体" w:eastAsia="宋体"/>
        </w:rPr>
        <w:t xml:space="preserve">：问句切词应保护 </w:t>
      </w:r>
      <w:r>
        <w:rPr>
          <w:rFonts w:ascii="宋体" w:hAnsi="宋体" w:eastAsia="宋体"/>
          <w:color w:val="9C270B"/>
          <w:sz w:val="17"/>
        </w:rPr>
        <w:t>RFC 8200</w:t>
      </w:r>
      <w:r>
        <w:rPr>
          <w:rFonts w:ascii="宋体" w:hAnsi="宋体" w:eastAsia="宋体"/>
        </w:rPr>
        <w:t>、</w:t>
      </w:r>
      <w:r>
        <w:rPr>
          <w:rFonts w:ascii="宋体" w:hAnsi="宋体" w:eastAsia="宋体"/>
          <w:color w:val="9C270B"/>
          <w:sz w:val="17"/>
        </w:rPr>
        <w:t>CVE-2021-44228</w:t>
      </w:r>
      <w:r>
        <w:rPr>
          <w:rFonts w:ascii="宋体" w:hAnsi="宋体" w:eastAsia="宋体"/>
        </w:rPr>
        <w:t>、</w:t>
      </w:r>
      <w:r>
        <w:rPr>
          <w:rFonts w:ascii="宋体" w:hAnsi="宋体" w:eastAsia="宋体"/>
          <w:color w:val="9C270B"/>
          <w:sz w:val="17"/>
        </w:rPr>
        <w:t>T1059.001</w:t>
      </w:r>
      <w:r>
        <w:rPr>
          <w:rFonts w:ascii="宋体" w:hAnsi="宋体" w:eastAsia="宋体"/>
        </w:rPr>
        <w:t xml:space="preserve"> 这类片段，并按问句意图选择关系。</w:t>
      </w:r>
    </w:p>
    <w:p>
      <w:pPr>
        <w:spacing w:after="20"/>
        <w:ind w:left="340" w:hanging="340"/>
      </w:pPr>
      <w:r>
        <w:rPr>
          <w:b/>
        </w:rPr>
        <w:t xml:space="preserve">5. </w:t>
      </w:r>
      <w:r>
        <w:rPr>
          <w:rFonts w:ascii="宋体" w:hAnsi="宋体" w:eastAsia="宋体"/>
          <w:b/>
        </w:rPr>
        <w:t>幻觉率单独算</w:t>
      </w:r>
      <w:r>
        <w:rPr>
          <w:rFonts w:ascii="宋体" w:hAnsi="宋体" w:eastAsia="宋体"/>
        </w:rPr>
        <w:t>：单方法图与融合图用同一题库、同一验证器对比，并明确"未支撑"口径。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7. 局限</w:t>
      </w:r>
    </w:p>
    <w:p>
      <w:r>
        <w:rPr>
          <w:rFonts w:ascii="宋体" w:hAnsi="宋体" w:eastAsia="宋体"/>
        </w:rPr>
        <w:t>T5 使用脚手架自带的小型示意语料与抽样金标准（18 条关系），方法 C 读取的是预保存输出，本报告只验证链路可运行和比较方法学，不构成对三种方法最终效果的结论；这些结论需要在题目二的 15 篇文档、40 个 CVE、389 个金标准实体和 782 条关系上重新检验。</w:t>
      </w:r>
    </w:p>
    <w:sectPr w:rsidR="00FC693F" w:rsidRPr="0006063C" w:rsidSect="00034616">
      <w:footerReference w:type="default" r:id="rId9"/>
      <w:pgSz w:w="11906" w:h="16838"/>
      <w:pgMar w:top="1077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60" w:before="0"/>
    </w:pPr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黑体" w:hAnsi="黑体" w:eastAsia="黑体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T5公共热身-三方法对比初探</dc:title>
  <dc:subject/>
  <dc:creator>知识图谱课程作业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