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中的模型使用少量标注数据以及少量迭代就达到了全数据量下的模型性能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以及不确定性抽样在收集解释并训练模型时有效性较高。</w:t>
      </w:r>
    </w:p>
    <w:p>
      <w:pPr>
        <w:rPr>
          <w:rFonts w:hint="default"/>
          <w:strike w:val="0"/>
          <w:dstrike w:val="0"/>
          <w:lang w:val="en-US" w:eastAsia="zh-CN"/>
        </w:rPr>
      </w:pPr>
      <w:r>
        <w:rPr>
          <w:rFonts w:hint="default"/>
          <w:strike w:val="0"/>
          <w:dstrike w:val="0"/>
          <w:lang w:val="en-US" w:eastAsia="zh-CN"/>
        </w:rPr>
        <w:t>Bayesian Active Learning by Disagreement</w:t>
      </w:r>
      <w:r>
        <w:rPr>
          <w:rFonts w:hint="eastAsia"/>
          <w:strike w:val="0"/>
          <w:dstrike w:val="0"/>
          <w:lang w:val="en-US" w:eastAsia="zh-CN"/>
        </w:rPr>
        <w:t>结合了MC dropout抽样</w:t>
      </w:r>
      <w:r>
        <w:rPr>
          <w:rFonts w:hint="default"/>
          <w:strike w:val="0"/>
          <w:dstrike w:val="0"/>
          <w:lang w:val="en-US" w:eastAsia="zh-CN"/>
        </w:rPr>
        <w:t>比</w:t>
      </w:r>
      <w:r>
        <w:rPr>
          <w:rFonts w:hint="eastAsia"/>
          <w:strike w:val="0"/>
          <w:dstrike w:val="0"/>
          <w:lang w:val="en-US" w:eastAsia="zh-CN"/>
        </w:rPr>
        <w:t>不带有dropout机制的神经网络在unseen数据集上表现更好</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开发一个基于池的人在循环中的具有解释的主动学习框架，适当地整合收购功能。</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探索了文本分类体系结构在嘈杂环境下的鲁棒性。例如，提供噪声解释或者引入随机性来代替模拟系统产生的解释。比较使用dropout机制的神经网络是否在文本分类问题中比传统神经网络表现更好。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eastAsia"/>
          <w:strike w:val="0"/>
          <w:dstrike w:val="0"/>
          <w:lang w:val="en-US" w:eastAsia="zh-CN"/>
        </w:rPr>
        <w:t>设计（7页）</w:t>
      </w:r>
    </w:p>
    <w:p>
      <w:pPr>
        <w:numPr>
          <w:ilvl w:val="0"/>
          <w:numId w:val="2"/>
        </w:numPr>
        <w:ind w:leftChars="0"/>
        <w:rPr>
          <w:rFonts w:hint="eastAsia"/>
          <w:strike w:val="0"/>
          <w:dstrike w:val="0"/>
          <w:lang w:val="en-US" w:eastAsia="zh-CN"/>
        </w:rPr>
      </w:pPr>
      <w:r>
        <w:rPr>
          <w:rFonts w:hint="eastAsia"/>
          <w:strike w:val="0"/>
          <w:dstrike w:val="0"/>
          <w:lang w:val="en-US" w:eastAsia="zh-CN"/>
        </w:rPr>
        <w:t>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228975" cy="302768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228975" cy="302768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numPr>
          <w:ilvl w:val="0"/>
          <w:numId w:val="0"/>
        </w:numPr>
        <w:rPr>
          <w:rFonts w:hint="eastAsia"/>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 xml:space="preserve">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drawing>
          <wp:inline distT="0" distB="0" distL="114300" distR="114300">
            <wp:extent cx="2730500" cy="1598930"/>
            <wp:effectExtent l="0" t="0" r="0" b="0"/>
            <wp:docPr id="17" name="ECB019B1-382A-4266-B25C-5B523AA43C14-3"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3" descr="C:/Users/admin/AppData/Local/Temp/wps.emKBguwps"/>
                    <pic:cNvPicPr>
                      <a:picLocks noChangeAspect="1"/>
                    </pic:cNvPicPr>
                  </pic:nvPicPr>
                  <pic:blipFill>
                    <a:blip r:embed="rId61"/>
                    <a:stretch>
                      <a:fillRect/>
                    </a:stretch>
                  </pic:blipFill>
                  <pic:spPr>
                    <a:xfrm>
                      <a:off x="0" y="0"/>
                      <a:ext cx="2730500" cy="1598930"/>
                    </a:xfrm>
                    <a:prstGeom prst="rect">
                      <a:avLst/>
                    </a:prstGeom>
                  </pic:spPr>
                </pic:pic>
              </a:graphicData>
            </a:graphic>
          </wp:inline>
        </w:drawing>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Crossed units have been dropped</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与其他主动学习相同的是加载了无标注数据集的嵌入表示$E$，不同之处在于模型需要开启训练模式，而不是评估模式。因为，MC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w:t>
      </w:r>
    </w:p>
    <w:p>
      <w:pPr>
        <w:widowControl w:val="0"/>
        <w:numPr>
          <w:numId w:val="0"/>
        </w:numPr>
        <w:ind w:leftChars="0"/>
        <w:jc w:val="both"/>
        <w:rPr>
          <w:rFonts w:hint="eastAsia"/>
          <w:lang w:val="en-US" w:eastAsia="zh-CN"/>
        </w:rPr>
      </w:pPr>
      <w:bookmarkStart w:id="4" w:name="_GoBack"/>
      <w:bookmarkEnd w:id="4"/>
    </w:p>
    <w:p>
      <w:pPr>
        <w:widowControl w:val="0"/>
        <w:numPr>
          <w:numId w:val="0"/>
        </w:numPr>
        <w:ind w:leftChars="0"/>
        <w:jc w:val="both"/>
        <w:rPr>
          <w:rFonts w:hint="default"/>
          <w:strike w:val="0"/>
          <w:dstrike w:val="0"/>
          <w:lang w:val="en-US" w:eastAsia="zh-CN"/>
        </w:rPr>
      </w:pPr>
      <w:r>
        <w:rPr>
          <w:rFonts w:hint="eastAsia"/>
          <w:strike w:val="0"/>
          <w:dstrike w:val="0"/>
          <w:lang w:val="en-US" w:eastAsia="zh-CN"/>
        </w:rPr>
        <w:t>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4.2 注释者</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实现：</w:t>
      </w:r>
    </w:p>
    <w:p>
      <w:pPr>
        <w:widowControl w:val="0"/>
        <w:numPr>
          <w:ilvl w:val="0"/>
          <w:numId w:val="3"/>
        </w:numPr>
        <w:jc w:val="both"/>
        <w:rPr>
          <w:rFonts w:hint="default"/>
          <w:strike w:val="0"/>
          <w:dstrike w:val="0"/>
          <w:lang w:val="en-US" w:eastAsia="zh-CN"/>
        </w:rPr>
      </w:pPr>
      <w:r>
        <w:rPr>
          <w:rFonts w:hint="eastAsia"/>
          <w:strike w:val="0"/>
          <w:dstrike w:val="0"/>
          <w:lang w:val="en-US" w:eastAsia="zh-CN"/>
        </w:rPr>
        <w:t>实验环境</w:t>
      </w:r>
    </w:p>
    <w:p>
      <w:pPr>
        <w:widowControl w:val="0"/>
        <w:numPr>
          <w:ilvl w:val="0"/>
          <w:numId w:val="3"/>
        </w:numPr>
        <w:jc w:val="both"/>
        <w:rPr>
          <w:rFonts w:hint="default"/>
          <w:strike w:val="0"/>
          <w:dstrike w:val="0"/>
          <w:lang w:val="en-US" w:eastAsia="zh-CN"/>
        </w:rPr>
      </w:pPr>
      <w:r>
        <w:rPr>
          <w:rFonts w:hint="eastAsia"/>
          <w:strike w:val="0"/>
          <w:dstrike w:val="0"/>
          <w:lang w:val="en-US" w:eastAsia="zh-CN"/>
        </w:rPr>
        <w:t>数据集描述（train val test 怎么分呀等等）</w:t>
      </w:r>
    </w:p>
    <w:p>
      <w:pPr>
        <w:numPr>
          <w:ilvl w:val="0"/>
          <w:numId w:val="0"/>
        </w:numPr>
        <w:rPr>
          <w:rFonts w:hint="default"/>
          <w:strike w:val="0"/>
          <w:dstrike w:val="0"/>
          <w:lang w:val="en-US" w:eastAsia="zh-CN"/>
        </w:rPr>
      </w:pPr>
      <w:r>
        <w:rPr>
          <w:rFonts w:hint="eastAsia"/>
          <w:strike w:val="0"/>
          <w:dstrike w:val="0"/>
          <w:lang w:val="en-US" w:eastAsia="zh-CN"/>
        </w:rPr>
        <w:t>2.1 数据准备</w:t>
      </w:r>
    </w:p>
    <w:p>
      <w:pPr>
        <w:numPr>
          <w:ilvl w:val="0"/>
          <w:numId w:val="0"/>
        </w:numPr>
        <w:rPr>
          <w:rFonts w:hint="eastAsia"/>
          <w:strike w:val="0"/>
          <w:dstrike w:val="0"/>
          <w:lang w:val="en-US" w:eastAsia="zh-CN"/>
        </w:rPr>
      </w:pPr>
      <w:r>
        <w:rPr>
          <w:rFonts w:hint="eastAsia"/>
          <w:strike w:val="0"/>
          <w:dstrike w:val="0"/>
          <w:lang w:val="en-US" w:eastAsia="zh-CN"/>
        </w:rPr>
        <w:t>预处理： 预训练之前需要对数据集推文进行预处理，通过标准化网络用语来对文本进行处理：将文本中以驼峰命名的单词拆分，引入emoji库将表情符号替换成文本，对网页链接，用户名，标签等清理或者替换来减少文本的噪音，提高模型学习率。</w:t>
      </w:r>
    </w:p>
    <w:p>
      <w:pPr>
        <w:numPr>
          <w:ilvl w:val="0"/>
          <w:numId w:val="0"/>
        </w:numPr>
        <w:rPr>
          <w:rFonts w:hint="eastAsia"/>
          <w:strike w:val="0"/>
          <w:dstrike w:val="0"/>
          <w:lang w:val="en-US" w:eastAsia="zh-CN"/>
        </w:rPr>
      </w:pPr>
      <w:r>
        <w:rPr>
          <w:rFonts w:hint="eastAsia"/>
          <w:strike w:val="0"/>
          <w:dstrike w:val="0"/>
          <w:lang w:val="en-US" w:eastAsia="zh-CN"/>
        </w:rPr>
        <w:t>数据集拆分：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p>
      <w:pPr>
        <w:numPr>
          <w:ilvl w:val="0"/>
          <w:numId w:val="0"/>
        </w:numPr>
        <w:rPr>
          <w:rFonts w:hint="default"/>
          <w:strike w:val="0"/>
          <w:dstrike w:val="0"/>
          <w:lang w:val="en-US" w:eastAsia="zh-CN"/>
        </w:rPr>
      </w:pPr>
      <w:r>
        <w:rPr>
          <w:rFonts w:hint="eastAsia"/>
          <w:strike w:val="0"/>
          <w:dstrike w:val="0"/>
          <w:lang w:val="en-US" w:eastAsia="zh-CN"/>
        </w:rPr>
        <w:t>在全数据量下已标注数据集的数据量将占整个数据集的百分之八十，长度为12845，测试集在全数据量以及在主动学习循环中的数量不变，长度一直是1606。在主动学习中第一次循环，已标注数据集的数据量为全部数据集的百分之二十，长度只有3211，而未标注数据集的长度为11241。每次循环将会抽样百分之四的数据用于标注。在后续的评估这一章中发现经过9次迭代模型性能便可达到全数据下校验集对应的模型性能。这时，未标注数据集的长度还剩6741。</w:t>
      </w:r>
    </w:p>
    <w:p>
      <w:pPr>
        <w:widowControl w:val="0"/>
        <w:numPr>
          <w:ilvl w:val="0"/>
          <w:numId w:val="0"/>
        </w:numPr>
        <w:jc w:val="both"/>
        <w:rPr>
          <w:rFonts w:hint="default"/>
          <w:strike w:val="0"/>
          <w:dstrike w:val="0"/>
          <w:lang w:val="en-US" w:eastAsia="zh-CN"/>
        </w:rPr>
      </w:pPr>
    </w:p>
    <w:p>
      <w:pPr>
        <w:widowControl w:val="0"/>
        <w:numPr>
          <w:ilvl w:val="0"/>
          <w:numId w:val="3"/>
        </w:numPr>
        <w:jc w:val="both"/>
        <w:rPr>
          <w:rFonts w:hint="default"/>
          <w:strike w:val="0"/>
          <w:dstrike w:val="0"/>
          <w:lang w:val="en-US" w:eastAsia="zh-CN"/>
        </w:rPr>
      </w:pPr>
      <w:r>
        <w:rPr>
          <w:rFonts w:hint="eastAsia"/>
          <w:strike w:val="0"/>
          <w:dstrike w:val="0"/>
          <w:lang w:val="en-US" w:eastAsia="zh-CN"/>
        </w:rPr>
        <w:t>注释者模拟</w:t>
      </w:r>
    </w:p>
    <w:p>
      <w:pPr>
        <w:widowControl w:val="0"/>
        <w:numPr>
          <w:ilvl w:val="0"/>
          <w:numId w:val="3"/>
        </w:numPr>
        <w:jc w:val="both"/>
        <w:rPr>
          <w:rFonts w:hint="default"/>
          <w:strike w:val="0"/>
          <w:dstrike w:val="0"/>
          <w:lang w:val="en-US" w:eastAsia="zh-CN"/>
        </w:rPr>
      </w:pPr>
      <w:r>
        <w:rPr>
          <w:rFonts w:hint="eastAsia"/>
          <w:strike w:val="0"/>
          <w:dstrike w:val="0"/>
          <w:lang w:val="en-US" w:eastAsia="zh-CN"/>
        </w:rPr>
        <w:t>评估标准</w:t>
      </w:r>
    </w:p>
    <w:p>
      <w:pPr>
        <w:widowControl w:val="0"/>
        <w:numPr>
          <w:ilvl w:val="0"/>
          <w:numId w:val="3"/>
        </w:numPr>
        <w:jc w:val="both"/>
        <w:rPr>
          <w:rFonts w:hint="default"/>
          <w:strike w:val="0"/>
          <w:dstrike w:val="0"/>
          <w:lang w:val="en-US" w:eastAsia="zh-CN"/>
        </w:rPr>
      </w:pPr>
      <w:r>
        <w:rPr>
          <w:rFonts w:hint="eastAsia"/>
          <w:strike w:val="0"/>
          <w:dstrike w:val="0"/>
          <w:lang w:val="en-US" w:eastAsia="zh-CN"/>
        </w:rPr>
        <w:t>运行模块（使用了学校的那个计算模式）</w:t>
      </w: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4"/>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6"/>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6"/>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6"/>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6"/>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6"/>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6"/>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5"/>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5"/>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5"/>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5"/>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5"/>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5"/>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5"/>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5"/>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5"/>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5"/>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5"/>
        </w:numPr>
        <w:ind w:left="0" w:leftChars="0" w:firstLine="0" w:firstLineChars="0"/>
        <w:jc w:val="both"/>
        <w:rPr>
          <w:rFonts w:hint="default"/>
          <w:lang w:val="en-US" w:eastAsia="zh-CN"/>
        </w:rPr>
      </w:pPr>
      <w:r>
        <w:rPr>
          <w:rFonts w:hint="default"/>
          <w:lang w:val="en-US" w:eastAsia="zh-CN"/>
        </w:rPr>
        <w:t>Y. Shi, H. Ma, W. Zhong, G. Mai, X. Li, T. Liu, and J. Huang, “Chat</w:t>
      </w:r>
      <w:r>
        <w:rPr>
          <w:rFonts w:hint="default"/>
          <w:lang w:val="en-US" w:eastAsia="zh-CN"/>
        </w:rPr>
        <w:t/>
      </w:r>
      <w:r>
        <w:rPr>
          <w:rFonts w:hint="default"/>
          <w:lang w:val="en-US" w:eastAsia="zh-CN"/>
        </w:rPr>
        <w: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5"/>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5"/>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5"/>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numId w:val="0"/>
        </w:numPr>
        <w:jc w:val="both"/>
        <w:rPr>
          <w:rFonts w:hint="default"/>
          <w:lang w:val="en-US" w:eastAsia="zh-CN"/>
        </w:rPr>
      </w:pPr>
    </w:p>
    <w:p>
      <w:pPr>
        <w:numPr>
          <w:numId w:val="0"/>
        </w:numPr>
        <w:jc w:val="both"/>
        <w:rPr>
          <w:rFonts w:hint="default"/>
          <w:lang w:val="en-US" w:eastAsia="zh-CN"/>
        </w:rPr>
      </w:pP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 BALD那里：Gal, Y., &amp; Ghahramani, Z. (2016). Dropout as a Bayesian Approximation: Representing Model Uncertainty in Deep Learning. ICML.</w:t>
      </w: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p>
    <w:p>
      <w:pPr>
        <w:numPr>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8733191"/>
    <w:multiLevelType w:val="singleLevel"/>
    <w:tmpl w:val="E8733191"/>
    <w:lvl w:ilvl="0" w:tentative="0">
      <w:start w:val="1"/>
      <w:numFmt w:val="decimal"/>
      <w:suff w:val="space"/>
      <w:lvlText w:val="%1."/>
      <w:lvlJc w:val="left"/>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4515A3B7"/>
    <w:multiLevelType w:val="singleLevel"/>
    <w:tmpl w:val="4515A3B7"/>
    <w:lvl w:ilvl="0" w:tentative="0">
      <w:start w:val="1"/>
      <w:numFmt w:val="decimal"/>
      <w:suff w:val="space"/>
      <w:lvlText w:val="%1."/>
      <w:lvlJc w:val="left"/>
    </w:lvl>
  </w:abstractNum>
  <w:abstractNum w:abstractNumId="4">
    <w:nsid w:val="5AF5DB0B"/>
    <w:multiLevelType w:val="singleLevel"/>
    <w:tmpl w:val="5AF5DB0B"/>
    <w:lvl w:ilvl="0" w:tentative="0">
      <w:start w:val="1"/>
      <w:numFmt w:val="decimal"/>
      <w:suff w:val="space"/>
      <w:lvlText w:val="[%1]"/>
      <w:lvlJc w:val="left"/>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6367B0D"/>
    <w:rsid w:val="065A060D"/>
    <w:rsid w:val="0ADC3EF7"/>
    <w:rsid w:val="149943EF"/>
    <w:rsid w:val="18A54405"/>
    <w:rsid w:val="18F21F6D"/>
    <w:rsid w:val="190B2F0F"/>
    <w:rsid w:val="1B8925D4"/>
    <w:rsid w:val="1EE8722C"/>
    <w:rsid w:val="21623977"/>
    <w:rsid w:val="22435DD6"/>
    <w:rsid w:val="24261D6E"/>
    <w:rsid w:val="299B6F0E"/>
    <w:rsid w:val="2BC230C6"/>
    <w:rsid w:val="2D4B5018"/>
    <w:rsid w:val="31127B05"/>
    <w:rsid w:val="32415391"/>
    <w:rsid w:val="339B7340"/>
    <w:rsid w:val="36CF7E38"/>
    <w:rsid w:val="370E7911"/>
    <w:rsid w:val="37C3258D"/>
    <w:rsid w:val="3A416CF0"/>
    <w:rsid w:val="3AF433EE"/>
    <w:rsid w:val="3B6320A0"/>
    <w:rsid w:val="3BA17727"/>
    <w:rsid w:val="3BC36985"/>
    <w:rsid w:val="3C813C67"/>
    <w:rsid w:val="3D3F2EA1"/>
    <w:rsid w:val="3E23694A"/>
    <w:rsid w:val="3EA006FD"/>
    <w:rsid w:val="3FE21A69"/>
    <w:rsid w:val="412C5124"/>
    <w:rsid w:val="43C7596F"/>
    <w:rsid w:val="445A3A52"/>
    <w:rsid w:val="45C226B9"/>
    <w:rsid w:val="494A4005"/>
    <w:rsid w:val="4AC43962"/>
    <w:rsid w:val="50B51E03"/>
    <w:rsid w:val="531B1936"/>
    <w:rsid w:val="55011664"/>
    <w:rsid w:val="572A7F10"/>
    <w:rsid w:val="57905B42"/>
    <w:rsid w:val="581901CA"/>
    <w:rsid w:val="59213594"/>
    <w:rsid w:val="59607579"/>
    <w:rsid w:val="5B160A29"/>
    <w:rsid w:val="5BA27C79"/>
    <w:rsid w:val="5F0E4515"/>
    <w:rsid w:val="60D13A33"/>
    <w:rsid w:val="62AA7FDD"/>
    <w:rsid w:val="62CC0451"/>
    <w:rsid w:val="62CF4061"/>
    <w:rsid w:val="63F26259"/>
    <w:rsid w:val="67C30A39"/>
    <w:rsid w:val="69855FFF"/>
    <w:rsid w:val="6E28142D"/>
    <w:rsid w:val="703D244E"/>
    <w:rsid w:val="71D16A28"/>
    <w:rsid w:val="71DD7DED"/>
    <w:rsid w:val="72395053"/>
    <w:rsid w:val="76DE463B"/>
    <w:rsid w:val="788C03FE"/>
    <w:rsid w:val="7BFE7181"/>
    <w:rsid w:val="7C4B52B3"/>
    <w:rsid w:val="7C7731C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3">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2023-08-05T23:40:51Z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