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D433" w14:textId="77777777" w:rsidR="007F6939" w:rsidRPr="007F6939" w:rsidRDefault="007F6939" w:rsidP="007F6939">
      <w:pPr>
        <w:rPr>
          <w:rFonts w:ascii="Times New Roman" w:hAnsi="Times New Roman" w:cs="Times New Roman"/>
          <w:b/>
          <w:bCs/>
          <w:sz w:val="36"/>
          <w:szCs w:val="36"/>
        </w:rPr>
      </w:pPr>
      <w:r w:rsidRPr="007F6939">
        <w:rPr>
          <w:rFonts w:ascii="Times New Roman" w:hAnsi="Times New Roman" w:cs="Times New Roman"/>
          <w:b/>
          <w:bCs/>
          <w:sz w:val="36"/>
          <w:szCs w:val="36"/>
        </w:rPr>
        <w:t>Insight Summary – Sales Performance Analytics</w:t>
      </w:r>
    </w:p>
    <w:p w14:paraId="221F8671" w14:textId="46F6F332" w:rsidR="007F6939" w:rsidRPr="007F6939" w:rsidRDefault="007F6939" w:rsidP="007F6939">
      <w:pPr>
        <w:rPr>
          <w:rFonts w:ascii="Times New Roman" w:hAnsi="Times New Roman" w:cs="Times New Roman"/>
          <w:b/>
          <w:bCs/>
          <w:sz w:val="28"/>
          <w:szCs w:val="28"/>
        </w:rPr>
      </w:pPr>
      <w:r w:rsidRPr="007F6939">
        <w:rPr>
          <w:rFonts w:ascii="Times New Roman" w:hAnsi="Times New Roman" w:cs="Times New Roman"/>
          <w:b/>
          <w:bCs/>
          <w:sz w:val="28"/>
          <w:szCs w:val="28"/>
        </w:rPr>
        <w:t>Regional Performance Analysis</w:t>
      </w:r>
    </w:p>
    <w:p w14:paraId="2E756ECD" w14:textId="77777777" w:rsidR="007F6939" w:rsidRPr="007F6939" w:rsidRDefault="007F6939" w:rsidP="007F6939">
      <w:pPr>
        <w:rPr>
          <w:rFonts w:ascii="Times New Roman" w:hAnsi="Times New Roman" w:cs="Times New Roman"/>
        </w:rPr>
      </w:pPr>
      <w:r w:rsidRPr="007F6939">
        <w:rPr>
          <w:rFonts w:ascii="Times New Roman" w:hAnsi="Times New Roman" w:cs="Times New Roman"/>
        </w:rPr>
        <w:t xml:space="preserve">The West and East regions generate the highest revenue contribution among all territories, indicating stronger customer penetration and effective regional sales execution. The strategies implemented in these regions should be </w:t>
      </w:r>
      <w:proofErr w:type="spellStart"/>
      <w:r w:rsidRPr="007F6939">
        <w:rPr>
          <w:rFonts w:ascii="Times New Roman" w:hAnsi="Times New Roman" w:cs="Times New Roman"/>
        </w:rPr>
        <w:t>analyzed</w:t>
      </w:r>
      <w:proofErr w:type="spellEnd"/>
      <w:r w:rsidRPr="007F6939">
        <w:rPr>
          <w:rFonts w:ascii="Times New Roman" w:hAnsi="Times New Roman" w:cs="Times New Roman"/>
        </w:rPr>
        <w:t xml:space="preserve"> and replicated in North and South regions to improve overall geographic performance.</w:t>
      </w:r>
    </w:p>
    <w:p w14:paraId="73C17D0A" w14:textId="77777777" w:rsidR="007F6939" w:rsidRDefault="007F6939" w:rsidP="007F6939">
      <w:pPr>
        <w:rPr>
          <w:rFonts w:ascii="Times New Roman" w:hAnsi="Times New Roman" w:cs="Times New Roman"/>
        </w:rPr>
      </w:pPr>
      <w:r w:rsidRPr="007F6939">
        <w:rPr>
          <w:rFonts w:ascii="Times New Roman" w:hAnsi="Times New Roman" w:cs="Times New Roman"/>
        </w:rPr>
        <w:pict w14:anchorId="165D669F">
          <v:rect id="_x0000_i1055" style="width:0;height:1.5pt" o:hralign="center" o:hrstd="t" o:hr="t" fillcolor="#a0a0a0" stroked="f"/>
        </w:pict>
      </w:r>
    </w:p>
    <w:p w14:paraId="2B3C8DB3" w14:textId="604C8CC6" w:rsidR="007F6939" w:rsidRPr="007F6939" w:rsidRDefault="007F6939" w:rsidP="007F6939">
      <w:pPr>
        <w:rPr>
          <w:rFonts w:ascii="Times New Roman" w:hAnsi="Times New Roman" w:cs="Times New Roman"/>
          <w:sz w:val="28"/>
          <w:szCs w:val="28"/>
        </w:rPr>
      </w:pPr>
      <w:r w:rsidRPr="007F6939">
        <w:rPr>
          <w:rFonts w:ascii="Times New Roman" w:hAnsi="Times New Roman" w:cs="Times New Roman"/>
          <w:b/>
          <w:bCs/>
          <w:sz w:val="28"/>
          <w:szCs w:val="28"/>
        </w:rPr>
        <w:t>Product Category Performance</w:t>
      </w:r>
    </w:p>
    <w:p w14:paraId="4D14D827" w14:textId="77777777" w:rsidR="007F6939" w:rsidRPr="007F6939" w:rsidRDefault="007F6939" w:rsidP="007F6939">
      <w:pPr>
        <w:rPr>
          <w:rFonts w:ascii="Times New Roman" w:hAnsi="Times New Roman" w:cs="Times New Roman"/>
        </w:rPr>
      </w:pPr>
      <w:r w:rsidRPr="007F6939">
        <w:rPr>
          <w:rFonts w:ascii="Times New Roman" w:hAnsi="Times New Roman" w:cs="Times New Roman"/>
        </w:rPr>
        <w:t>Accessories is the top-performing product category, outperforming both Bikes and Clothing. This suggests strong demand for add-on or complementary products. Introducing bundled offers and cross-selling strategies could further increase revenue from this category.</w:t>
      </w:r>
    </w:p>
    <w:p w14:paraId="7C15E6BB" w14:textId="77777777" w:rsidR="007F6939" w:rsidRDefault="007F6939" w:rsidP="007F6939">
      <w:pPr>
        <w:rPr>
          <w:rFonts w:ascii="Times New Roman" w:hAnsi="Times New Roman" w:cs="Times New Roman"/>
        </w:rPr>
      </w:pPr>
      <w:r w:rsidRPr="007F6939">
        <w:rPr>
          <w:rFonts w:ascii="Times New Roman" w:hAnsi="Times New Roman" w:cs="Times New Roman"/>
        </w:rPr>
        <w:pict w14:anchorId="18369F21">
          <v:rect id="_x0000_i1056" style="width:0;height:1.5pt" o:hralign="center" o:hrstd="t" o:hr="t" fillcolor="#a0a0a0" stroked="f"/>
        </w:pict>
      </w:r>
    </w:p>
    <w:p w14:paraId="4B3E3C30" w14:textId="4BEA71A0" w:rsidR="007F6939" w:rsidRPr="007F6939" w:rsidRDefault="007F6939" w:rsidP="007F6939">
      <w:pPr>
        <w:rPr>
          <w:rFonts w:ascii="Times New Roman" w:hAnsi="Times New Roman" w:cs="Times New Roman"/>
          <w:sz w:val="28"/>
          <w:szCs w:val="28"/>
        </w:rPr>
      </w:pPr>
      <w:r w:rsidRPr="007F6939">
        <w:rPr>
          <w:rFonts w:ascii="Times New Roman" w:hAnsi="Times New Roman" w:cs="Times New Roman"/>
          <w:b/>
          <w:bCs/>
          <w:sz w:val="28"/>
          <w:szCs w:val="28"/>
        </w:rPr>
        <w:t>Target Achievement Evaluation</w:t>
      </w:r>
    </w:p>
    <w:p w14:paraId="2D97D3D5" w14:textId="77777777" w:rsidR="007F6939" w:rsidRPr="007F6939" w:rsidRDefault="007F6939" w:rsidP="007F6939">
      <w:pPr>
        <w:rPr>
          <w:rFonts w:ascii="Times New Roman" w:hAnsi="Times New Roman" w:cs="Times New Roman"/>
        </w:rPr>
      </w:pPr>
      <w:r w:rsidRPr="007F6939">
        <w:rPr>
          <w:rFonts w:ascii="Times New Roman" w:hAnsi="Times New Roman" w:cs="Times New Roman"/>
        </w:rPr>
        <w:t>The organization has achieved 145.24% of its annual sales target, significantly exceeding expectations. This reflects strong sales team performance and effective revenue planning. Future targets may need to be revised upward to align with current growth momentum.</w:t>
      </w:r>
    </w:p>
    <w:p w14:paraId="34A6566A" w14:textId="77777777" w:rsidR="007F6939" w:rsidRPr="007F6939" w:rsidRDefault="007F6939" w:rsidP="007F6939">
      <w:pPr>
        <w:rPr>
          <w:rFonts w:ascii="Times New Roman" w:hAnsi="Times New Roman" w:cs="Times New Roman"/>
        </w:rPr>
      </w:pPr>
      <w:r w:rsidRPr="007F6939">
        <w:rPr>
          <w:rFonts w:ascii="Times New Roman" w:hAnsi="Times New Roman" w:cs="Times New Roman"/>
        </w:rPr>
        <w:pict w14:anchorId="028385C4">
          <v:rect id="_x0000_i1057" style="width:0;height:1.5pt" o:hralign="center" o:hrstd="t" o:hr="t" fillcolor="#a0a0a0" stroked="f"/>
        </w:pict>
      </w:r>
    </w:p>
    <w:p w14:paraId="6C4DF7A6" w14:textId="408F6377" w:rsidR="007F6939" w:rsidRPr="007F6939" w:rsidRDefault="007F6939" w:rsidP="007F6939">
      <w:pPr>
        <w:rPr>
          <w:rFonts w:ascii="Times New Roman" w:hAnsi="Times New Roman" w:cs="Times New Roman"/>
          <w:b/>
          <w:bCs/>
          <w:sz w:val="28"/>
          <w:szCs w:val="28"/>
        </w:rPr>
      </w:pPr>
      <w:r w:rsidRPr="007F6939">
        <w:rPr>
          <w:rFonts w:ascii="Times New Roman" w:hAnsi="Times New Roman" w:cs="Times New Roman"/>
          <w:b/>
          <w:bCs/>
          <w:sz w:val="28"/>
          <w:szCs w:val="28"/>
        </w:rPr>
        <w:t>Customer Revenue Concentration</w:t>
      </w:r>
    </w:p>
    <w:p w14:paraId="06227EAA" w14:textId="77777777" w:rsidR="007F6939" w:rsidRPr="007F6939" w:rsidRDefault="007F6939" w:rsidP="007F6939">
      <w:pPr>
        <w:rPr>
          <w:rFonts w:ascii="Times New Roman" w:hAnsi="Times New Roman" w:cs="Times New Roman"/>
        </w:rPr>
      </w:pPr>
      <w:r w:rsidRPr="007F6939">
        <w:rPr>
          <w:rFonts w:ascii="Times New Roman" w:hAnsi="Times New Roman" w:cs="Times New Roman"/>
        </w:rPr>
        <w:t>The Top 10 customers contribute approximately $144.1K in revenue, representing a significant share of total sales. This indicates a moderate revenue concentration risk. Retention strategies such as loyalty programs and personalized engagement should be prioritized to maintain these key accounts.</w:t>
      </w:r>
    </w:p>
    <w:p w14:paraId="3565F806" w14:textId="77777777" w:rsidR="007F6939" w:rsidRDefault="007F6939" w:rsidP="007F6939">
      <w:pPr>
        <w:rPr>
          <w:rFonts w:ascii="Times New Roman" w:hAnsi="Times New Roman" w:cs="Times New Roman"/>
        </w:rPr>
      </w:pPr>
      <w:r w:rsidRPr="007F6939">
        <w:rPr>
          <w:rFonts w:ascii="Times New Roman" w:hAnsi="Times New Roman" w:cs="Times New Roman"/>
        </w:rPr>
        <w:pict w14:anchorId="0AAF5C57">
          <v:rect id="_x0000_i1058" style="width:0;height:1.5pt" o:hralign="center" o:hrstd="t" o:hr="t" fillcolor="#a0a0a0" stroked="f"/>
        </w:pict>
      </w:r>
    </w:p>
    <w:p w14:paraId="6BEE1FC7" w14:textId="543CA3D5" w:rsidR="007F6939" w:rsidRPr="007F6939" w:rsidRDefault="007F6939" w:rsidP="007F6939">
      <w:pPr>
        <w:rPr>
          <w:rFonts w:ascii="Times New Roman" w:hAnsi="Times New Roman" w:cs="Times New Roman"/>
          <w:sz w:val="28"/>
          <w:szCs w:val="28"/>
        </w:rPr>
      </w:pPr>
      <w:r w:rsidRPr="007F6939">
        <w:rPr>
          <w:rFonts w:ascii="Times New Roman" w:hAnsi="Times New Roman" w:cs="Times New Roman"/>
          <w:b/>
          <w:bCs/>
          <w:sz w:val="28"/>
          <w:szCs w:val="28"/>
        </w:rPr>
        <w:t>Monthly Sales Trend Analysis</w:t>
      </w:r>
    </w:p>
    <w:p w14:paraId="29460B02" w14:textId="77777777" w:rsidR="007F6939" w:rsidRPr="007F6939" w:rsidRDefault="007F6939" w:rsidP="007F6939">
      <w:pPr>
        <w:rPr>
          <w:rFonts w:ascii="Times New Roman" w:hAnsi="Times New Roman" w:cs="Times New Roman"/>
        </w:rPr>
      </w:pPr>
      <w:r w:rsidRPr="007F6939">
        <w:rPr>
          <w:rFonts w:ascii="Times New Roman" w:hAnsi="Times New Roman" w:cs="Times New Roman"/>
        </w:rPr>
        <w:t xml:space="preserve">Monthly revenue trends show fluctuations throughout the year, with noticeable peaks and dips indicating seasonal buying </w:t>
      </w:r>
      <w:proofErr w:type="spellStart"/>
      <w:r w:rsidRPr="007F6939">
        <w:rPr>
          <w:rFonts w:ascii="Times New Roman" w:hAnsi="Times New Roman" w:cs="Times New Roman"/>
        </w:rPr>
        <w:t>behavior</w:t>
      </w:r>
      <w:proofErr w:type="spellEnd"/>
      <w:r w:rsidRPr="007F6939">
        <w:rPr>
          <w:rFonts w:ascii="Times New Roman" w:hAnsi="Times New Roman" w:cs="Times New Roman"/>
        </w:rPr>
        <w:t>. Inventory planning and marketing campaigns should be aligned with high-demand months to maximize revenue opportunities and avoid stock shortages.</w:t>
      </w:r>
    </w:p>
    <w:p w14:paraId="7F210CFC" w14:textId="77777777" w:rsidR="007F6939" w:rsidRPr="007F6939" w:rsidRDefault="007F6939" w:rsidP="007F6939">
      <w:pPr>
        <w:rPr>
          <w:rFonts w:ascii="Times New Roman" w:hAnsi="Times New Roman" w:cs="Times New Roman"/>
        </w:rPr>
      </w:pPr>
      <w:r w:rsidRPr="007F6939">
        <w:rPr>
          <w:rFonts w:ascii="Times New Roman" w:hAnsi="Times New Roman" w:cs="Times New Roman"/>
        </w:rPr>
        <w:pict w14:anchorId="04762890">
          <v:rect id="_x0000_i1059" style="width:0;height:1.5pt" o:hralign="center" o:hrstd="t" o:hr="t" fillcolor="#a0a0a0" stroked="f"/>
        </w:pict>
      </w:r>
    </w:p>
    <w:p w14:paraId="31FC27C5" w14:textId="347DC2F7" w:rsidR="007F6939" w:rsidRPr="007F6939" w:rsidRDefault="007F6939" w:rsidP="007F6939">
      <w:pPr>
        <w:rPr>
          <w:rFonts w:ascii="Times New Roman" w:hAnsi="Times New Roman" w:cs="Times New Roman"/>
          <w:b/>
          <w:bCs/>
          <w:sz w:val="28"/>
          <w:szCs w:val="28"/>
        </w:rPr>
      </w:pPr>
      <w:r w:rsidRPr="007F6939">
        <w:rPr>
          <w:rFonts w:ascii="Times New Roman" w:hAnsi="Times New Roman" w:cs="Times New Roman"/>
          <w:b/>
          <w:bCs/>
          <w:sz w:val="28"/>
          <w:szCs w:val="28"/>
        </w:rPr>
        <w:t>Strategic Recommendation</w:t>
      </w:r>
    </w:p>
    <w:p w14:paraId="318E6CBC" w14:textId="77777777" w:rsidR="007F6939" w:rsidRPr="007F6939" w:rsidRDefault="007F6939" w:rsidP="007F6939">
      <w:pPr>
        <w:rPr>
          <w:rFonts w:ascii="Times New Roman" w:hAnsi="Times New Roman" w:cs="Times New Roman"/>
        </w:rPr>
      </w:pPr>
      <w:r w:rsidRPr="007F6939">
        <w:rPr>
          <w:rFonts w:ascii="Times New Roman" w:hAnsi="Times New Roman" w:cs="Times New Roman"/>
        </w:rPr>
        <w:t>Given the strong overall performance and high target achievement percentage, the organization should focus on scaling high-performing categories and regions while implementing corrective strategies for underperforming segments to ensure balanced and sustainable growth.</w:t>
      </w:r>
    </w:p>
    <w:p w14:paraId="74BBB799" w14:textId="77777777" w:rsidR="00D33872" w:rsidRDefault="00D33872"/>
    <w:sectPr w:rsidR="00D33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39"/>
    <w:rsid w:val="007F6939"/>
    <w:rsid w:val="00992637"/>
    <w:rsid w:val="00CD427D"/>
    <w:rsid w:val="00D33872"/>
    <w:rsid w:val="00DD6744"/>
    <w:rsid w:val="00EA0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5B24"/>
  <w15:chartTrackingRefBased/>
  <w15:docId w15:val="{235DF496-547F-46DD-9856-2E92842AC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9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9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9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9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9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9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9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9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39"/>
    <w:rPr>
      <w:rFonts w:eastAsiaTheme="majorEastAsia" w:cstheme="majorBidi"/>
      <w:color w:val="272727" w:themeColor="text1" w:themeTint="D8"/>
    </w:rPr>
  </w:style>
  <w:style w:type="paragraph" w:styleId="Title">
    <w:name w:val="Title"/>
    <w:basedOn w:val="Normal"/>
    <w:next w:val="Normal"/>
    <w:link w:val="TitleChar"/>
    <w:uiPriority w:val="10"/>
    <w:qFormat/>
    <w:rsid w:val="007F6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39"/>
    <w:pPr>
      <w:spacing w:before="160"/>
      <w:jc w:val="center"/>
    </w:pPr>
    <w:rPr>
      <w:i/>
      <w:iCs/>
      <w:color w:val="404040" w:themeColor="text1" w:themeTint="BF"/>
    </w:rPr>
  </w:style>
  <w:style w:type="character" w:customStyle="1" w:styleId="QuoteChar">
    <w:name w:val="Quote Char"/>
    <w:basedOn w:val="DefaultParagraphFont"/>
    <w:link w:val="Quote"/>
    <w:uiPriority w:val="29"/>
    <w:rsid w:val="007F6939"/>
    <w:rPr>
      <w:i/>
      <w:iCs/>
      <w:color w:val="404040" w:themeColor="text1" w:themeTint="BF"/>
    </w:rPr>
  </w:style>
  <w:style w:type="paragraph" w:styleId="ListParagraph">
    <w:name w:val="List Paragraph"/>
    <w:basedOn w:val="Normal"/>
    <w:uiPriority w:val="34"/>
    <w:qFormat/>
    <w:rsid w:val="007F6939"/>
    <w:pPr>
      <w:ind w:left="720"/>
      <w:contextualSpacing/>
    </w:pPr>
  </w:style>
  <w:style w:type="character" w:styleId="IntenseEmphasis">
    <w:name w:val="Intense Emphasis"/>
    <w:basedOn w:val="DefaultParagraphFont"/>
    <w:uiPriority w:val="21"/>
    <w:qFormat/>
    <w:rsid w:val="007F6939"/>
    <w:rPr>
      <w:i/>
      <w:iCs/>
      <w:color w:val="2F5496" w:themeColor="accent1" w:themeShade="BF"/>
    </w:rPr>
  </w:style>
  <w:style w:type="paragraph" w:styleId="IntenseQuote">
    <w:name w:val="Intense Quote"/>
    <w:basedOn w:val="Normal"/>
    <w:next w:val="Normal"/>
    <w:link w:val="IntenseQuoteChar"/>
    <w:uiPriority w:val="30"/>
    <w:qFormat/>
    <w:rsid w:val="007F69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939"/>
    <w:rPr>
      <w:i/>
      <w:iCs/>
      <w:color w:val="2F5496" w:themeColor="accent1" w:themeShade="BF"/>
    </w:rPr>
  </w:style>
  <w:style w:type="character" w:styleId="IntenseReference">
    <w:name w:val="Intense Reference"/>
    <w:basedOn w:val="DefaultParagraphFont"/>
    <w:uiPriority w:val="32"/>
    <w:qFormat/>
    <w:rsid w:val="007F69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SYM</dc:creator>
  <cp:keywords/>
  <dc:description/>
  <cp:lastModifiedBy>Bilal SYM</cp:lastModifiedBy>
  <cp:revision>1</cp:revision>
  <dcterms:created xsi:type="dcterms:W3CDTF">2026-02-15T14:30:00Z</dcterms:created>
  <dcterms:modified xsi:type="dcterms:W3CDTF">2026-02-15T14:32:00Z</dcterms:modified>
</cp:coreProperties>
</file>