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708ED" w14:textId="3B1DA6A8" w:rsidR="003F027C" w:rsidRDefault="0065274A" w:rsidP="00182287">
      <w:pPr>
        <w:pStyle w:val="Author"/>
        <w:rPr>
          <w:noProof/>
          <w:kern w:val="28"/>
          <w:sz w:val="40"/>
        </w:rPr>
      </w:pPr>
      <w:r>
        <w:rPr>
          <w:rFonts w:hint="eastAsia"/>
          <w:noProof/>
          <w:kern w:val="28"/>
          <w:sz w:val="40"/>
        </w:rPr>
        <w:t>Improving</w:t>
      </w:r>
      <w:r w:rsidR="003F027C" w:rsidRPr="003F027C">
        <w:rPr>
          <w:noProof/>
          <w:kern w:val="28"/>
          <w:sz w:val="40"/>
        </w:rPr>
        <w:t xml:space="preserve"> MedDRA/J Coding Accuracy with </w:t>
      </w:r>
      <w:r w:rsidR="008E7458">
        <w:rPr>
          <w:rFonts w:hint="eastAsia"/>
          <w:noProof/>
          <w:kern w:val="28"/>
          <w:sz w:val="40"/>
        </w:rPr>
        <w:t xml:space="preserve">a </w:t>
      </w:r>
      <w:r w:rsidR="003F027C" w:rsidRPr="003F027C">
        <w:rPr>
          <w:noProof/>
          <w:kern w:val="28"/>
          <w:sz w:val="40"/>
        </w:rPr>
        <w:t>Fine-Tuned Text Embedding Model</w:t>
      </w:r>
    </w:p>
    <w:p w14:paraId="50F2DD3C" w14:textId="11BDD942" w:rsidR="00182287" w:rsidRDefault="00182287" w:rsidP="00182287">
      <w:pPr>
        <w:pStyle w:val="Author"/>
      </w:pPr>
      <w:r w:rsidRPr="004069E1">
        <w:t xml:space="preserve">Shoya </w:t>
      </w:r>
      <w:proofErr w:type="spellStart"/>
      <w:proofErr w:type="gramStart"/>
      <w:r w:rsidR="009A27E1">
        <w:rPr>
          <w:rFonts w:hint="eastAsia"/>
        </w:rPr>
        <w:t>WADA</w:t>
      </w:r>
      <w:r w:rsidRPr="004069E1">
        <w:rPr>
          <w:rFonts w:hint="eastAsia"/>
          <w:vertAlign w:val="superscript"/>
        </w:rPr>
        <w:t>a</w:t>
      </w:r>
      <w:r>
        <w:rPr>
          <w:rFonts w:hint="eastAsia"/>
          <w:vertAlign w:val="superscript"/>
        </w:rPr>
        <w:t>,b</w:t>
      </w:r>
      <w:proofErr w:type="spellEnd"/>
      <w:proofErr w:type="gramEnd"/>
      <w:r w:rsidR="00811F0E">
        <w:rPr>
          <w:rFonts w:hint="eastAsia"/>
          <w:vertAlign w:val="superscript"/>
        </w:rPr>
        <w:t>,</w:t>
      </w:r>
      <w:r w:rsidR="00351971">
        <w:rPr>
          <w:rStyle w:val="a9"/>
        </w:rPr>
        <w:footnoteReference w:id="2"/>
      </w:r>
      <w:r w:rsidRPr="004069E1">
        <w:t xml:space="preserve">, Masaharu </w:t>
      </w:r>
      <w:proofErr w:type="spellStart"/>
      <w:r w:rsidR="009A27E1">
        <w:rPr>
          <w:rFonts w:hint="eastAsia"/>
        </w:rPr>
        <w:t>OKAMOTO</w:t>
      </w:r>
      <w:r>
        <w:rPr>
          <w:rFonts w:hint="eastAsia"/>
          <w:vertAlign w:val="superscript"/>
        </w:rPr>
        <w:t>b</w:t>
      </w:r>
      <w:proofErr w:type="spellEnd"/>
      <w:r w:rsidRPr="004069E1">
        <w:t xml:space="preserve">, Kento </w:t>
      </w:r>
      <w:proofErr w:type="spellStart"/>
      <w:r w:rsidR="009A27E1">
        <w:rPr>
          <w:rFonts w:hint="eastAsia"/>
        </w:rPr>
        <w:t>SUGIMOTO</w:t>
      </w:r>
      <w:r>
        <w:rPr>
          <w:rFonts w:hint="eastAsia"/>
          <w:vertAlign w:val="superscript"/>
        </w:rPr>
        <w:t>b</w:t>
      </w:r>
      <w:proofErr w:type="spellEnd"/>
      <w:r w:rsidRPr="004069E1">
        <w:t xml:space="preserve">, Yasushi </w:t>
      </w:r>
      <w:proofErr w:type="spellStart"/>
      <w:r w:rsidR="009A27E1">
        <w:rPr>
          <w:rFonts w:hint="eastAsia"/>
        </w:rPr>
        <w:t>MATSUMURA</w:t>
      </w:r>
      <w:r>
        <w:rPr>
          <w:rFonts w:hint="eastAsia"/>
          <w:vertAlign w:val="superscript"/>
        </w:rPr>
        <w:t>b,c</w:t>
      </w:r>
      <w:proofErr w:type="spellEnd"/>
      <w:r w:rsidRPr="004069E1">
        <w:t xml:space="preserve">, Katsuki </w:t>
      </w:r>
      <w:proofErr w:type="spellStart"/>
      <w:r w:rsidR="009A27E1">
        <w:rPr>
          <w:rFonts w:hint="eastAsia"/>
        </w:rPr>
        <w:t>OKADA</w:t>
      </w:r>
      <w:r>
        <w:rPr>
          <w:rFonts w:hint="eastAsia"/>
          <w:vertAlign w:val="superscript"/>
        </w:rPr>
        <w:t>b</w:t>
      </w:r>
      <w:proofErr w:type="spellEnd"/>
      <w:r w:rsidRPr="004069E1">
        <w:t xml:space="preserve">, Shozo </w:t>
      </w:r>
      <w:proofErr w:type="spellStart"/>
      <w:r w:rsidR="009A27E1">
        <w:rPr>
          <w:rFonts w:hint="eastAsia"/>
        </w:rPr>
        <w:t>KONISHI</w:t>
      </w:r>
      <w:r>
        <w:rPr>
          <w:rFonts w:hint="eastAsia"/>
          <w:vertAlign w:val="superscript"/>
        </w:rPr>
        <w:t>b</w:t>
      </w:r>
      <w:proofErr w:type="spellEnd"/>
      <w:r w:rsidRPr="004069E1">
        <w:t>,</w:t>
      </w:r>
      <w:r w:rsidR="00EC1FD2">
        <w:rPr>
          <w:rFonts w:hint="eastAsia"/>
        </w:rPr>
        <w:t xml:space="preserve"> </w:t>
      </w:r>
      <w:r w:rsidR="00ED1547">
        <w:rPr>
          <w:rFonts w:hint="eastAsia"/>
        </w:rPr>
        <w:t>Takuya HARA</w:t>
      </w:r>
      <w:r w:rsidR="00A271D3">
        <w:rPr>
          <w:rFonts w:hint="eastAsia"/>
          <w:vertAlign w:val="superscript"/>
        </w:rPr>
        <w:t>d</w:t>
      </w:r>
      <w:r w:rsidR="00ED1547">
        <w:rPr>
          <w:rFonts w:hint="eastAsia"/>
        </w:rPr>
        <w:t xml:space="preserve">, Jun </w:t>
      </w:r>
      <w:proofErr w:type="spellStart"/>
      <w:r w:rsidR="00ED1547">
        <w:rPr>
          <w:rFonts w:hint="eastAsia"/>
        </w:rPr>
        <w:t>KATO</w:t>
      </w:r>
      <w:r w:rsidR="00A271D3">
        <w:rPr>
          <w:rFonts w:hint="eastAsia"/>
          <w:vertAlign w:val="superscript"/>
        </w:rPr>
        <w:t>d</w:t>
      </w:r>
      <w:proofErr w:type="spellEnd"/>
      <w:r w:rsidR="00ED1547">
        <w:rPr>
          <w:rFonts w:hint="eastAsia"/>
        </w:rPr>
        <w:t xml:space="preserve">, </w:t>
      </w:r>
      <w:r w:rsidRPr="004069E1">
        <w:t xml:space="preserve"> </w:t>
      </w:r>
      <w:r w:rsidR="00A271D3" w:rsidRPr="00A271D3">
        <w:t xml:space="preserve">Tadashi </w:t>
      </w:r>
      <w:proofErr w:type="spellStart"/>
      <w:r w:rsidR="00A271D3">
        <w:rPr>
          <w:rFonts w:hint="eastAsia"/>
        </w:rPr>
        <w:t>MATSUNO</w:t>
      </w:r>
      <w:r w:rsidR="003D4BB1" w:rsidRPr="003D4BB1">
        <w:rPr>
          <w:rFonts w:hint="eastAsia"/>
          <w:vertAlign w:val="superscript"/>
        </w:rPr>
        <w:t>e</w:t>
      </w:r>
      <w:proofErr w:type="spellEnd"/>
      <w:r w:rsidR="00A271D3">
        <w:rPr>
          <w:rFonts w:hint="eastAsia"/>
        </w:rPr>
        <w:t xml:space="preserve">, </w:t>
      </w:r>
      <w:r w:rsidR="00A271D3" w:rsidRPr="00A271D3">
        <w:t xml:space="preserve">Saki </w:t>
      </w:r>
      <w:proofErr w:type="spellStart"/>
      <w:r w:rsidR="00A271D3">
        <w:rPr>
          <w:rFonts w:hint="eastAsia"/>
        </w:rPr>
        <w:t>NAKANO</w:t>
      </w:r>
      <w:r w:rsidR="003D4BB1" w:rsidRPr="003D4BB1">
        <w:rPr>
          <w:rFonts w:hint="eastAsia"/>
          <w:vertAlign w:val="superscript"/>
        </w:rPr>
        <w:t>e</w:t>
      </w:r>
      <w:proofErr w:type="spellEnd"/>
      <w:r w:rsidR="007373A8">
        <w:rPr>
          <w:rFonts w:hint="eastAsia"/>
        </w:rPr>
        <w:t xml:space="preserve">, </w:t>
      </w:r>
      <w:r w:rsidRPr="004069E1">
        <w:t xml:space="preserve">Toshihiro </w:t>
      </w:r>
      <w:proofErr w:type="spellStart"/>
      <w:r w:rsidR="009A27E1">
        <w:rPr>
          <w:rFonts w:hint="eastAsia"/>
        </w:rPr>
        <w:t>TAKEDA</w:t>
      </w:r>
      <w:r>
        <w:rPr>
          <w:rFonts w:hint="eastAsia"/>
          <w:vertAlign w:val="superscript"/>
        </w:rPr>
        <w:t>b</w:t>
      </w:r>
      <w:proofErr w:type="spellEnd"/>
    </w:p>
    <w:p w14:paraId="101E2EA7" w14:textId="23D7A760" w:rsidR="00182287" w:rsidRDefault="00182287" w:rsidP="00182287">
      <w:pPr>
        <w:pStyle w:val="Affiliation"/>
      </w:pPr>
      <w:r>
        <w:rPr>
          <w:i w:val="0"/>
          <w:vertAlign w:val="superscript"/>
        </w:rPr>
        <w:t>a</w:t>
      </w:r>
      <w:r>
        <w:rPr>
          <w:sz w:val="8"/>
          <w:szCs w:val="8"/>
        </w:rPr>
        <w:t xml:space="preserve"> </w:t>
      </w:r>
      <w:r w:rsidRPr="004069E1">
        <w:t>Department of Transformative System for Medical Information, Graduate School of Medicine</w:t>
      </w:r>
      <w:r w:rsidR="00991E39">
        <w:rPr>
          <w:rFonts w:hint="eastAsia"/>
        </w:rPr>
        <w:t xml:space="preserve">, </w:t>
      </w:r>
      <w:r w:rsidR="00991E39" w:rsidRPr="00991E39">
        <w:t>The University of Osaka</w:t>
      </w:r>
    </w:p>
    <w:p w14:paraId="174398DA" w14:textId="77777777" w:rsidR="00991E39" w:rsidRDefault="00182287" w:rsidP="00182287">
      <w:pPr>
        <w:pStyle w:val="Affiliation"/>
        <w:rPr>
          <w:i w:val="0"/>
          <w:vertAlign w:val="superscript"/>
        </w:rPr>
      </w:pPr>
      <w:r>
        <w:rPr>
          <w:rFonts w:hint="eastAsia"/>
          <w:i w:val="0"/>
          <w:vertAlign w:val="superscript"/>
        </w:rPr>
        <w:t>b</w:t>
      </w:r>
      <w:r>
        <w:rPr>
          <w:sz w:val="8"/>
          <w:szCs w:val="8"/>
        </w:rPr>
        <w:t xml:space="preserve"> </w:t>
      </w:r>
      <w:r w:rsidRPr="004069E1">
        <w:t>Department of Medical Informatics</w:t>
      </w:r>
      <w:r w:rsidR="00991E39" w:rsidRPr="004069E1">
        <w:t>, Graduate School of Medicine</w:t>
      </w:r>
      <w:r w:rsidR="00991E39">
        <w:rPr>
          <w:rFonts w:hint="eastAsia"/>
        </w:rPr>
        <w:t xml:space="preserve">, </w:t>
      </w:r>
      <w:r w:rsidR="00991E39" w:rsidRPr="00991E39">
        <w:t>The University of Osaka</w:t>
      </w:r>
      <w:r w:rsidR="00991E39">
        <w:rPr>
          <w:rFonts w:hint="eastAsia"/>
          <w:i w:val="0"/>
          <w:vertAlign w:val="superscript"/>
        </w:rPr>
        <w:t xml:space="preserve"> </w:t>
      </w:r>
    </w:p>
    <w:p w14:paraId="51A0DD68" w14:textId="31013B10" w:rsidR="00182287" w:rsidRDefault="00182287" w:rsidP="00182287">
      <w:pPr>
        <w:pStyle w:val="Affiliation"/>
      </w:pPr>
      <w:r>
        <w:rPr>
          <w:rFonts w:hint="eastAsia"/>
          <w:i w:val="0"/>
          <w:vertAlign w:val="superscript"/>
        </w:rPr>
        <w:t>c</w:t>
      </w:r>
      <w:r>
        <w:rPr>
          <w:sz w:val="8"/>
          <w:szCs w:val="8"/>
        </w:rPr>
        <w:t xml:space="preserve"> </w:t>
      </w:r>
      <w:r w:rsidRPr="004069E1">
        <w:t>National Hospital Organization Osaka National Hospital</w:t>
      </w:r>
    </w:p>
    <w:p w14:paraId="235ACCB4" w14:textId="77777777" w:rsidR="00182287" w:rsidRPr="003D4BB1" w:rsidRDefault="00182287" w:rsidP="00182287">
      <w:pPr>
        <w:pStyle w:val="Affiliation"/>
      </w:pPr>
      <w:r w:rsidRPr="003D4BB1">
        <w:rPr>
          <w:rFonts w:hint="eastAsia"/>
          <w:i w:val="0"/>
          <w:vertAlign w:val="superscript"/>
        </w:rPr>
        <w:t>d</w:t>
      </w:r>
      <w:r w:rsidRPr="003D4BB1">
        <w:rPr>
          <w:sz w:val="8"/>
          <w:szCs w:val="8"/>
        </w:rPr>
        <w:t xml:space="preserve"> </w:t>
      </w:r>
      <w:r w:rsidRPr="003D4BB1">
        <w:t>Pharmacovigilance Department, Drug Development and Regulatory Science Division, Shionogi &amp; Co., Ltd.</w:t>
      </w:r>
    </w:p>
    <w:p w14:paraId="6D6BDAC6" w14:textId="77777777" w:rsidR="00182287" w:rsidRPr="004069E1" w:rsidRDefault="00182287" w:rsidP="00182287">
      <w:pPr>
        <w:pStyle w:val="Affiliation"/>
      </w:pPr>
      <w:r w:rsidRPr="003D4BB1">
        <w:rPr>
          <w:rFonts w:hint="eastAsia"/>
          <w:i w:val="0"/>
          <w:vertAlign w:val="superscript"/>
        </w:rPr>
        <w:t>e</w:t>
      </w:r>
      <w:r w:rsidRPr="003D4BB1">
        <w:rPr>
          <w:sz w:val="8"/>
          <w:szCs w:val="8"/>
        </w:rPr>
        <w:t xml:space="preserve"> </w:t>
      </w:r>
      <w:r w:rsidRPr="003D4BB1">
        <w:t>Data Science Department, DX Promotion Division, Shionogi &amp; Co., Ltd.</w:t>
      </w:r>
    </w:p>
    <w:p w14:paraId="220AA091" w14:textId="77777777" w:rsidR="00182287" w:rsidRDefault="00182287" w:rsidP="00F51B76">
      <w:pPr>
        <w:pStyle w:val="ORCiDID"/>
      </w:pPr>
      <w:proofErr w:type="spellStart"/>
      <w:r w:rsidRPr="005B34CE">
        <w:t>ORCiD</w:t>
      </w:r>
      <w:proofErr w:type="spellEnd"/>
      <w:r w:rsidRPr="005B34CE">
        <w:t xml:space="preserve"> ID: </w:t>
      </w:r>
      <w:r>
        <w:rPr>
          <w:rFonts w:hint="eastAsia"/>
        </w:rPr>
        <w:t>Shoya Wada</w:t>
      </w:r>
      <w:r w:rsidRPr="005B34CE">
        <w:t xml:space="preserve"> </w:t>
      </w:r>
      <w:hyperlink r:id="rId11" w:history="1">
        <w:r w:rsidRPr="00221972">
          <w:rPr>
            <w:rStyle w:val="aa"/>
          </w:rPr>
          <w:t>https://orcid.org/0000-0001-7055-1009</w:t>
        </w:r>
      </w:hyperlink>
    </w:p>
    <w:p w14:paraId="4F9C3519" w14:textId="59020E62" w:rsidR="00B05D6E" w:rsidRDefault="00662D8A" w:rsidP="00E01857">
      <w:pPr>
        <w:pStyle w:val="Abstract"/>
      </w:pPr>
      <w:r w:rsidRPr="00C136F7">
        <w:rPr>
          <w:rFonts w:hint="eastAsia"/>
          <w:b/>
          <w:bCs/>
        </w:rPr>
        <w:t> </w:t>
      </w:r>
      <w:r w:rsidRPr="00C136F7">
        <w:rPr>
          <w:b/>
          <w:bCs/>
        </w:rPr>
        <w:t>Abstract.</w:t>
      </w:r>
      <w:r w:rsidRPr="00662D8A">
        <w:t xml:space="preserve"> Existing Japanese Medical Dictionary for Regulatory Activities (MedDRA/J) search tools support exact and partial matches but need help with paraphrased, synonymous, or colloquial expressions </w:t>
      </w:r>
      <w:proofErr w:type="gramStart"/>
      <w:r w:rsidRPr="00662D8A">
        <w:t>not present</w:t>
      </w:r>
      <w:proofErr w:type="gramEnd"/>
      <w:r w:rsidRPr="00662D8A">
        <w:t xml:space="preserve"> in the dictionary, increasing the operational burden on coders. We aim to enhance the efficiency and accuracy of MedDRA coding by employing advanced natural language processing (NLP) techniques, specifically a fine-tuned text embedding model. We utilized MedDRA/J terminology and an in-house adverse event database comprising 71,813 combinations of expressions and lowest-level term (LLT) codes, covering 45,395 unique adverse event expressions. We compared several methods: Jaccard index for partial match simulation, Word2Vec embeddings, </w:t>
      </w:r>
      <w:proofErr w:type="spellStart"/>
      <w:r w:rsidRPr="00662D8A">
        <w:t>GLuCoSE</w:t>
      </w:r>
      <w:proofErr w:type="spellEnd"/>
      <w:r w:rsidRPr="00662D8A">
        <w:t xml:space="preserve"> v1 and v2 embedding models, and our fine-tuned model based on </w:t>
      </w:r>
      <w:proofErr w:type="spellStart"/>
      <w:r w:rsidRPr="00662D8A">
        <w:t>GLuCoSE</w:t>
      </w:r>
      <w:proofErr w:type="spellEnd"/>
      <w:r w:rsidRPr="00662D8A">
        <w:t xml:space="preserve"> v2 enhanced with domain-specific data using triplet margin loss. Our results demonstrated that the fine-tuned </w:t>
      </w:r>
      <w:proofErr w:type="spellStart"/>
      <w:r w:rsidRPr="00662D8A">
        <w:t>GLuCoSE</w:t>
      </w:r>
      <w:proofErr w:type="spellEnd"/>
      <w:r w:rsidRPr="00662D8A">
        <w:t xml:space="preserve"> v2 model significantly outperformed conventional methods. Specifically, the model achieved an nDCG@20 of 76.2%, Recall@20 of 90.8%, and Recall@100 of 95.4% when utilizing 50K entries from the in-house database. Moreover, re-ranking experiments using large language models (LLMs) further improved the ranking of appropriate LLT candidates. In conclusion, integrating advanced NLP models and effectively utilizing in-house data significantly improves the accuracy and efficiency of MedDRA/J terminology searches.</w:t>
      </w:r>
    </w:p>
    <w:p w14:paraId="36ADD188" w14:textId="6954AA00" w:rsidR="00B05D6E" w:rsidRDefault="00B05D6E">
      <w:pPr>
        <w:pStyle w:val="Keywords"/>
      </w:pPr>
      <w:r>
        <w:rPr>
          <w:b/>
        </w:rPr>
        <w:t>Keywords.</w:t>
      </w:r>
      <w:r>
        <w:t xml:space="preserve"> </w:t>
      </w:r>
      <w:r w:rsidR="00DC7EF5">
        <w:rPr>
          <w:rFonts w:hint="eastAsia"/>
        </w:rPr>
        <w:t xml:space="preserve">MedDRA coding, </w:t>
      </w:r>
      <w:r w:rsidR="00DC7EF5" w:rsidRPr="00257323">
        <w:t>pharmacovigilance</w:t>
      </w:r>
      <w:r w:rsidR="00DC7EF5">
        <w:rPr>
          <w:rFonts w:hint="eastAsia"/>
        </w:rPr>
        <w:t>, n</w:t>
      </w:r>
      <w:r w:rsidR="00AA20AE">
        <w:rPr>
          <w:rFonts w:hint="eastAsia"/>
        </w:rPr>
        <w:t>atural language processing</w:t>
      </w:r>
      <w:r w:rsidR="006B64E8">
        <w:rPr>
          <w:rFonts w:hint="eastAsia"/>
        </w:rPr>
        <w:t>, large language models</w:t>
      </w:r>
    </w:p>
    <w:p w14:paraId="1D3D2E62" w14:textId="0DF249CB" w:rsidR="005B4767" w:rsidRDefault="00B05D6E" w:rsidP="005B4767">
      <w:pPr>
        <w:pStyle w:val="1"/>
      </w:pPr>
      <w:r>
        <w:t>Introduction</w:t>
      </w:r>
    </w:p>
    <w:p w14:paraId="7ABFAD28" w14:textId="50FA7610" w:rsidR="00C97F5B" w:rsidRDefault="00EF1CB5" w:rsidP="00C97F5B">
      <w:pPr>
        <w:ind w:firstLine="0"/>
      </w:pPr>
      <w:r w:rsidRPr="00EF1CB5">
        <w:t>Pharmaceutical companies in Japan are required under the Act on Pharmaceuticals and Medical Devices to collect and report information on adverse events, infections, and defects associated with post-marketing pharmaceuticals and medical devices. An essential process in this compliance is Medical Dictionary for Regulatory Activities (MedDRA) coding, an international terminology used for regulatory communication, which is manually performed and demands significant time and cost.</w:t>
      </w:r>
    </w:p>
    <w:p w14:paraId="7D6EC906" w14:textId="1EE346B9" w:rsidR="006318EC" w:rsidRDefault="006318EC" w:rsidP="005B4767">
      <w:r w:rsidRPr="006318EC">
        <w:lastRenderedPageBreak/>
        <w:t>The MedDRA Japanese Maintenance Organization provides a MedDRA/J search tool supporting exact and partial matches for MedDRA/J terminology</w:t>
      </w:r>
      <w:r>
        <w:rPr>
          <w:rStyle w:val="a9"/>
        </w:rPr>
        <w:footnoteReference w:id="3"/>
      </w:r>
      <w:r w:rsidRPr="006318EC">
        <w:t xml:space="preserve">. However, when encountering expressions </w:t>
      </w:r>
      <w:proofErr w:type="gramStart"/>
      <w:r w:rsidRPr="006318EC">
        <w:t>not present</w:t>
      </w:r>
      <w:proofErr w:type="gramEnd"/>
      <w:r w:rsidRPr="006318EC">
        <w:t xml:space="preserve"> in the dictionary—such as paraphrased, synonymous, or colloquial descriptions—operators must recall and search for likely terms, increasing operational burden.</w:t>
      </w:r>
    </w:p>
    <w:p w14:paraId="39A688B3" w14:textId="0C690C87" w:rsidR="002D19A5" w:rsidRDefault="004D7B5A" w:rsidP="005B4767">
      <w:r w:rsidRPr="004D7B5A">
        <w:t xml:space="preserve">Natural language processing (NLP) technologies have been applied to improve the accuracy of MedDRA terminology searches [1,2]. </w:t>
      </w:r>
      <w:r w:rsidR="0080408B">
        <w:rPr>
          <w:rFonts w:hint="eastAsia"/>
        </w:rPr>
        <w:t>Some s</w:t>
      </w:r>
      <w:r w:rsidRPr="004D7B5A">
        <w:t xml:space="preserve">tudies have demonstrated the utility of semantic similarity-based searches for medical terminology using neural network-based embeddings in SNOMED CT, ICD-10-CM, and ICD-10 [3-5]. However, </w:t>
      </w:r>
      <w:proofErr w:type="gramStart"/>
      <w:r w:rsidRPr="004D7B5A">
        <w:t>few</w:t>
      </w:r>
      <w:proofErr w:type="gramEnd"/>
      <w:r w:rsidRPr="004D7B5A">
        <w:t xml:space="preserve"> reports focus specifically on the utility of embeddings for MedDRA [6]. </w:t>
      </w:r>
      <w:r w:rsidR="002D19A5" w:rsidRPr="002D19A5">
        <w:t xml:space="preserve"> </w:t>
      </w:r>
    </w:p>
    <w:p w14:paraId="2A806BBC" w14:textId="12563407" w:rsidR="00BD7B03" w:rsidRDefault="00BD7B03" w:rsidP="00BD7B03">
      <w:r>
        <w:t>Recently, research leveraging Transformer-based models to use more context-aware embeddings for improving search accuracy has become increasingly activ</w:t>
      </w:r>
      <w:r w:rsidR="000C3363">
        <w:rPr>
          <w:rFonts w:hint="eastAsia"/>
        </w:rPr>
        <w:t>e</w:t>
      </w:r>
      <w:r w:rsidR="007F08E0">
        <w:rPr>
          <w:rFonts w:hint="eastAsia"/>
        </w:rPr>
        <w:t xml:space="preserve"> [7]</w:t>
      </w:r>
      <w:r>
        <w:t xml:space="preserve">. </w:t>
      </w:r>
      <w:r w:rsidR="00FE7712">
        <w:rPr>
          <w:rFonts w:hint="eastAsia"/>
        </w:rPr>
        <w:t>In t</w:t>
      </w:r>
      <w:r>
        <w:t>his study</w:t>
      </w:r>
      <w:r w:rsidR="00FE7712">
        <w:rPr>
          <w:rFonts w:hint="eastAsia"/>
        </w:rPr>
        <w:t>, we</w:t>
      </w:r>
      <w:r>
        <w:t xml:space="preserve"> address gaps in MedDRA coding by employing state-of-the-art NLP models to enhance search efficiency and accuracy, especially for Japanese-language expressions not directly found in existing MedDRA terminology.</w:t>
      </w:r>
    </w:p>
    <w:p w14:paraId="7B908DF0" w14:textId="799C1A87" w:rsidR="005B4767" w:rsidRPr="005B4767" w:rsidRDefault="00BD7B03" w:rsidP="00BD7B03">
      <w:r>
        <w:t>Specifically, we evaluate the utility of embedding representations (Sentence-BERT)</w:t>
      </w:r>
      <w:r w:rsidR="000C3363">
        <w:rPr>
          <w:rFonts w:hint="eastAsia"/>
        </w:rPr>
        <w:t xml:space="preserve"> </w:t>
      </w:r>
      <w:r w:rsidR="000C3363">
        <w:t>[7]</w:t>
      </w:r>
      <w:r w:rsidR="000C3363">
        <w:rPr>
          <w:rFonts w:hint="eastAsia"/>
        </w:rPr>
        <w:t xml:space="preserve"> </w:t>
      </w:r>
      <w:r>
        <w:t>in MedDRA terminology searches, compared to conventional methods such as text matching and Word2Vec-based embeddings</w:t>
      </w:r>
      <w:r w:rsidR="00A97754">
        <w:rPr>
          <w:rFonts w:hint="eastAsia"/>
        </w:rPr>
        <w:t xml:space="preserve"> [8]</w:t>
      </w:r>
      <w:r>
        <w:t>. Additionally, we demonstrate how effectively utilizing the in-house database improves search accuracy.</w:t>
      </w:r>
    </w:p>
    <w:p w14:paraId="2412F30B" w14:textId="711D3438" w:rsidR="00B05D6E" w:rsidRDefault="004175C0">
      <w:pPr>
        <w:pStyle w:val="1"/>
      </w:pPr>
      <w:r>
        <w:rPr>
          <w:rFonts w:hint="eastAsia"/>
        </w:rPr>
        <w:t>Methods</w:t>
      </w:r>
    </w:p>
    <w:p w14:paraId="5E88A0EB" w14:textId="3A8E37A6" w:rsidR="004175C0" w:rsidRDefault="004175C0" w:rsidP="004175C0">
      <w:pPr>
        <w:pStyle w:val="2"/>
      </w:pPr>
      <w:r>
        <w:rPr>
          <w:rFonts w:hint="eastAsia"/>
        </w:rPr>
        <w:t>Data Collection and Preparation</w:t>
      </w:r>
    </w:p>
    <w:p w14:paraId="215B6AEB" w14:textId="77777777" w:rsidR="00C11ABF" w:rsidRDefault="00C11ABF" w:rsidP="00C11ABF">
      <w:pPr>
        <w:ind w:firstLine="0"/>
      </w:pPr>
      <w:r>
        <w:t>We used MedDRA/J ver. 27.0 (March 2024) as the primary reference, excluding terms with the '</w:t>
      </w:r>
      <w:proofErr w:type="gramStart"/>
      <w:r>
        <w:t>Non-current</w:t>
      </w:r>
      <w:proofErr w:type="gramEnd"/>
      <w:r>
        <w:t xml:space="preserve"> flag in Japanese,' resulting in 71,339 terms, including synonyms.</w:t>
      </w:r>
    </w:p>
    <w:p w14:paraId="4B217158" w14:textId="47D7E596" w:rsidR="00C11ABF" w:rsidRDefault="00C11ABF" w:rsidP="00C11ABF">
      <w:r>
        <w:t xml:space="preserve">We utilized an in-house Shionogi &amp; Co., Ltd. database containing 244,438 records where each adverse event could link to multiple Lowest Level Term (LLT) expressions. </w:t>
      </w:r>
      <w:r w:rsidR="00C323E2" w:rsidRPr="00C323E2">
        <w:t>This database included expressions that registrants had reinterpreted from raw text to facilitate MedDRA coding for regulatory reporting, making the content more accessible to users. By removing entries with combinations already included in MedDRA/J, we focused on 71,81</w:t>
      </w:r>
      <w:r w:rsidR="00381A50">
        <w:rPr>
          <w:rFonts w:hint="eastAsia"/>
        </w:rPr>
        <w:t>3</w:t>
      </w:r>
      <w:r w:rsidR="00C323E2" w:rsidRPr="00C323E2">
        <w:t xml:space="preserve"> unique combinations, which cover 45,395 unique adverse event expressions and are challenging to detect through simple exact matches.</w:t>
      </w:r>
    </w:p>
    <w:p w14:paraId="225E2165" w14:textId="1D2D02C1" w:rsidR="002C4802" w:rsidRDefault="00C11ABF" w:rsidP="00C11ABF">
      <w:r>
        <w:t>The data were split into training (n=50,667; used for fine-tuning the text embedding model and utilized to expand MedDRA/J terminology for searching user queries), development (n=10,482; to determine optimal parameters during fine-tuning), and testing (n=10,66</w:t>
      </w:r>
      <w:r w:rsidR="00381A50">
        <w:rPr>
          <w:rFonts w:hint="eastAsia"/>
        </w:rPr>
        <w:t>4</w:t>
      </w:r>
      <w:r>
        <w:t>) datasets. We stratified the dataset based on the primary System Organ Class (SOC) of each LLT code. To maintain consistency, we ensured expressions associated with multiple LLT codes were not split across datasets.</w:t>
      </w:r>
    </w:p>
    <w:p w14:paraId="7CB41217" w14:textId="0D64C3A5" w:rsidR="00555EEA" w:rsidRDefault="00555EEA" w:rsidP="00124989">
      <w:pPr>
        <w:pStyle w:val="2"/>
      </w:pPr>
      <w:r>
        <w:rPr>
          <w:rFonts w:hint="eastAsia"/>
        </w:rPr>
        <w:t>Comparison Methods and Baseline Models</w:t>
      </w:r>
    </w:p>
    <w:p w14:paraId="471928E4" w14:textId="08B0304A" w:rsidR="00854BFB" w:rsidRDefault="00854BFB" w:rsidP="00854BFB">
      <w:pPr>
        <w:pStyle w:val="NoindentNormal"/>
      </w:pPr>
      <w:r w:rsidRPr="00854BFB">
        <w:rPr>
          <w:b/>
          <w:bCs/>
        </w:rPr>
        <w:t>Jaccard Index</w:t>
      </w:r>
      <w:r>
        <w:t xml:space="preserve">: </w:t>
      </w:r>
      <w:r w:rsidR="001623AC" w:rsidRPr="001623AC">
        <w:t>Used to simulate partial match search as a baseline, measuring similarity between sets akin to unordered keyword searches.</w:t>
      </w:r>
    </w:p>
    <w:p w14:paraId="6CA37955" w14:textId="6E9B61FA" w:rsidR="00775626" w:rsidRDefault="009129EB" w:rsidP="00775626">
      <w:r w:rsidRPr="009129EB">
        <w:rPr>
          <w:b/>
          <w:bCs/>
        </w:rPr>
        <w:t>Word2Vec</w:t>
      </w:r>
      <w:r w:rsidR="00800951">
        <w:rPr>
          <w:rFonts w:hint="eastAsia"/>
          <w:b/>
          <w:bCs/>
        </w:rPr>
        <w:t xml:space="preserve"> [</w:t>
      </w:r>
      <w:r w:rsidR="00E43602">
        <w:rPr>
          <w:rFonts w:hint="eastAsia"/>
          <w:b/>
          <w:bCs/>
        </w:rPr>
        <w:t>8]</w:t>
      </w:r>
      <w:r w:rsidRPr="009129EB">
        <w:t xml:space="preserve">: </w:t>
      </w:r>
      <w:r w:rsidR="001623AC" w:rsidRPr="001623AC">
        <w:t>We used Japanese Wikipedia Entity Vectors from Tohoku University</w:t>
      </w:r>
      <w:r w:rsidR="00E74E5D">
        <w:rPr>
          <w:rFonts w:hint="eastAsia"/>
        </w:rPr>
        <w:t xml:space="preserve">, </w:t>
      </w:r>
      <w:r w:rsidR="00E74E5D" w:rsidRPr="001623AC">
        <w:t>performing mean pooling of word embeddings for comparison</w:t>
      </w:r>
      <w:r w:rsidR="005A7403">
        <w:rPr>
          <w:rFonts w:hint="eastAsia"/>
        </w:rPr>
        <w:t>.</w:t>
      </w:r>
    </w:p>
    <w:p w14:paraId="496DCA02" w14:textId="316A67B5" w:rsidR="00AE4313" w:rsidRDefault="00854BFB" w:rsidP="00775626">
      <w:proofErr w:type="spellStart"/>
      <w:r w:rsidRPr="00775626">
        <w:rPr>
          <w:b/>
          <w:bCs/>
        </w:rPr>
        <w:lastRenderedPageBreak/>
        <w:t>GLuCoSE</w:t>
      </w:r>
      <w:proofErr w:type="spellEnd"/>
      <w:r w:rsidRPr="00775626">
        <w:rPr>
          <w:b/>
          <w:bCs/>
        </w:rPr>
        <w:t xml:space="preserve"> </w:t>
      </w:r>
      <w:r w:rsidR="009246C7">
        <w:rPr>
          <w:rFonts w:hint="eastAsia"/>
          <w:b/>
          <w:bCs/>
        </w:rPr>
        <w:t>models</w:t>
      </w:r>
      <w:r w:rsidR="009340A2">
        <w:rPr>
          <w:rFonts w:hint="eastAsia"/>
          <w:b/>
          <w:bCs/>
        </w:rPr>
        <w:t xml:space="preserve"> </w:t>
      </w:r>
      <w:r w:rsidR="009340A2" w:rsidRPr="00110ECB">
        <w:rPr>
          <w:rFonts w:hint="eastAsia"/>
          <w:b/>
          <w:bCs/>
        </w:rPr>
        <w:t>(</w:t>
      </w:r>
      <w:r w:rsidR="009340A2" w:rsidRPr="00110ECB">
        <w:rPr>
          <w:b/>
          <w:bCs/>
        </w:rPr>
        <w:t>PKSHA Technology Inc.</w:t>
      </w:r>
      <w:r w:rsidR="009340A2" w:rsidRPr="00110ECB">
        <w:rPr>
          <w:rFonts w:hint="eastAsia"/>
          <w:b/>
          <w:bCs/>
        </w:rPr>
        <w:t>)</w:t>
      </w:r>
      <w:r w:rsidR="009246C7">
        <w:rPr>
          <w:rFonts w:hint="eastAsia"/>
          <w:b/>
          <w:bCs/>
        </w:rPr>
        <w:t>:</w:t>
      </w:r>
      <w:r w:rsidR="00884667">
        <w:rPr>
          <w:rFonts w:hint="eastAsia"/>
        </w:rPr>
        <w:t xml:space="preserve"> </w:t>
      </w:r>
      <w:proofErr w:type="spellStart"/>
      <w:r w:rsidR="009246C7">
        <w:rPr>
          <w:rFonts w:hint="eastAsia"/>
        </w:rPr>
        <w:t>GLuCoSE</w:t>
      </w:r>
      <w:proofErr w:type="spellEnd"/>
      <w:r w:rsidR="009246C7">
        <w:rPr>
          <w:rFonts w:hint="eastAsia"/>
        </w:rPr>
        <w:t xml:space="preserve"> v1 </w:t>
      </w:r>
      <w:r w:rsidR="00884667">
        <w:rPr>
          <w:rFonts w:hint="eastAsia"/>
        </w:rPr>
        <w:t>is a</w:t>
      </w:r>
      <w:r w:rsidRPr="00112A43">
        <w:t xml:space="preserve"> Japanese text embedding model based on LUKE.</w:t>
      </w:r>
      <w:r w:rsidR="00775626" w:rsidRPr="009246C7">
        <w:rPr>
          <w:rFonts w:hint="eastAsia"/>
        </w:rPr>
        <w:t xml:space="preserve"> </w:t>
      </w:r>
      <w:proofErr w:type="spellStart"/>
      <w:r w:rsidRPr="009246C7">
        <w:t>GLuCoSE</w:t>
      </w:r>
      <w:proofErr w:type="spellEnd"/>
      <w:r w:rsidRPr="009246C7">
        <w:t xml:space="preserve"> v2</w:t>
      </w:r>
      <w:r w:rsidR="00775626" w:rsidRPr="009246C7">
        <w:rPr>
          <w:rFonts w:hint="eastAsia"/>
        </w:rPr>
        <w:t xml:space="preserve"> </w:t>
      </w:r>
      <w:r w:rsidR="00775626">
        <w:rPr>
          <w:rFonts w:hint="eastAsia"/>
        </w:rPr>
        <w:t>is an e</w:t>
      </w:r>
      <w:r w:rsidR="00D24F4C" w:rsidRPr="00D24F4C">
        <w:t xml:space="preserve">nhanced </w:t>
      </w:r>
      <w:r w:rsidR="00E8545C">
        <w:rPr>
          <w:rFonts w:hint="eastAsia"/>
        </w:rPr>
        <w:t>model</w:t>
      </w:r>
      <w:r w:rsidR="00D24F4C" w:rsidRPr="00D24F4C">
        <w:t xml:space="preserve"> fine-tuned using distillation with large-scale embedding models and multi-stage contrastive learning.</w:t>
      </w:r>
    </w:p>
    <w:p w14:paraId="27F08014" w14:textId="0B59A793" w:rsidR="00555EEA" w:rsidRDefault="00854BFB" w:rsidP="00C61A56">
      <w:r w:rsidRPr="00AE4313">
        <w:rPr>
          <w:b/>
          <w:bCs/>
        </w:rPr>
        <w:t>Our Fine-tuned Model</w:t>
      </w:r>
      <w:r w:rsidRPr="00AE4313">
        <w:t xml:space="preserve">: </w:t>
      </w:r>
      <w:r w:rsidR="007A1200" w:rsidRPr="007A1200">
        <w:t xml:space="preserve">Based on </w:t>
      </w:r>
      <w:proofErr w:type="spellStart"/>
      <w:r w:rsidR="007A1200" w:rsidRPr="007A1200">
        <w:t>GLuCoSE</w:t>
      </w:r>
      <w:proofErr w:type="spellEnd"/>
      <w:r w:rsidR="007A1200" w:rsidRPr="007A1200">
        <w:t xml:space="preserve"> v2, further fine-tuned using MedDRA/J terminology and the in-house training dataset. We employed triplet loss [</w:t>
      </w:r>
      <w:r w:rsidR="00E43602">
        <w:rPr>
          <w:rFonts w:hint="eastAsia"/>
        </w:rPr>
        <w:t>7</w:t>
      </w:r>
      <w:r w:rsidR="007A1200" w:rsidRPr="007A1200">
        <w:t>,</w:t>
      </w:r>
      <w:r w:rsidR="00E43602">
        <w:rPr>
          <w:rFonts w:hint="eastAsia"/>
        </w:rPr>
        <w:t>9</w:t>
      </w:r>
      <w:r w:rsidR="007A1200" w:rsidRPr="007A1200">
        <w:t xml:space="preserve">], using the query's associated Preferred Term (PT) as the anchor, the query as the positive example, and an LLT from a different PT but within the same </w:t>
      </w:r>
      <w:proofErr w:type="gramStart"/>
      <w:r w:rsidR="007A1200" w:rsidRPr="007A1200">
        <w:t>High Level</w:t>
      </w:r>
      <w:proofErr w:type="gramEnd"/>
      <w:r w:rsidR="007A1200" w:rsidRPr="007A1200">
        <w:t xml:space="preserve"> Term (HLT) as the negative. Hyperparameters were optimized using </w:t>
      </w:r>
      <w:proofErr w:type="spellStart"/>
      <w:r w:rsidR="007A1200">
        <w:t>Optuna</w:t>
      </w:r>
      <w:proofErr w:type="spellEnd"/>
      <w:r w:rsidR="007A1200" w:rsidRPr="007A1200">
        <w:t xml:space="preserve"> with </w:t>
      </w:r>
      <w:r w:rsidR="00CE4835">
        <w:rPr>
          <w:rFonts w:hint="eastAsia"/>
        </w:rPr>
        <w:t>100</w:t>
      </w:r>
      <w:r w:rsidR="007A1200" w:rsidRPr="007A1200">
        <w:t xml:space="preserve"> trials</w:t>
      </w:r>
      <w:r>
        <w:t>.</w:t>
      </w:r>
    </w:p>
    <w:p w14:paraId="19BCFDE9" w14:textId="3CD2C340" w:rsidR="00556E66" w:rsidRDefault="00556E66" w:rsidP="00556E66">
      <w:pPr>
        <w:pStyle w:val="2"/>
      </w:pPr>
      <w:r>
        <w:rPr>
          <w:rFonts w:hint="eastAsia"/>
        </w:rPr>
        <w:t>Re-ranking Evaluation</w:t>
      </w:r>
    </w:p>
    <w:p w14:paraId="52D5F4DE" w14:textId="31CF9292" w:rsidR="00BA0036" w:rsidRDefault="00B575FF" w:rsidP="00BA0036">
      <w:pPr>
        <w:pStyle w:val="NoindentNormal"/>
      </w:pPr>
      <w:r w:rsidRPr="00B575FF">
        <w:t>Given the promising results of language generation models in re-ranking tasks across domains [10–12], we employed re-ranking to enhance the accuracy of suggested LLT terms. We identified challenging cases where correct LLTs ranked between 20 and 100 by our fine-tuned model</w:t>
      </w:r>
      <w:r w:rsidR="003C61E9" w:rsidRPr="003C61E9">
        <w:t>. We provided a prompt with the top 100 LLT candidates for re-ranking based on semantic similarity to the query text.</w:t>
      </w:r>
    </w:p>
    <w:p w14:paraId="651E55BF" w14:textId="19879DF4" w:rsidR="00BA0036" w:rsidRPr="00A62512" w:rsidRDefault="00A62512" w:rsidP="00A62512">
      <w:pPr>
        <w:pStyle w:val="Listbul"/>
        <w:spacing w:before="120"/>
        <w:ind w:left="737" w:hanging="380"/>
        <w:rPr>
          <w:b/>
          <w:bCs/>
        </w:rPr>
      </w:pPr>
      <w:r w:rsidRPr="00A62512">
        <w:rPr>
          <w:b/>
          <w:bCs/>
        </w:rPr>
        <w:t>Random Shuffle:</w:t>
      </w:r>
      <w:r w:rsidRPr="00A62512">
        <w:t xml:space="preserve"> A random shuffling of LLT terms served as a baseline.</w:t>
      </w:r>
    </w:p>
    <w:p w14:paraId="085A1563" w14:textId="1B176929" w:rsidR="00AA2D26" w:rsidRDefault="00F700D9" w:rsidP="00AA2D26">
      <w:pPr>
        <w:pStyle w:val="Listbul"/>
        <w:spacing w:before="120"/>
        <w:ind w:left="737" w:hanging="380"/>
      </w:pPr>
      <w:r>
        <w:rPr>
          <w:rFonts w:hint="eastAsia"/>
          <w:b/>
          <w:bCs/>
        </w:rPr>
        <w:t xml:space="preserve">Local </w:t>
      </w:r>
      <w:r w:rsidR="00705F48">
        <w:rPr>
          <w:rFonts w:hint="eastAsia"/>
          <w:b/>
          <w:bCs/>
        </w:rPr>
        <w:t>Large Language Models (</w:t>
      </w:r>
      <w:r>
        <w:rPr>
          <w:rFonts w:hint="eastAsia"/>
          <w:b/>
          <w:bCs/>
        </w:rPr>
        <w:t>LLMs</w:t>
      </w:r>
      <w:r w:rsidR="00705F48">
        <w:rPr>
          <w:rFonts w:hint="eastAsia"/>
          <w:b/>
          <w:bCs/>
        </w:rPr>
        <w:t>)</w:t>
      </w:r>
      <w:r>
        <w:rPr>
          <w:rFonts w:hint="eastAsia"/>
          <w:b/>
          <w:bCs/>
        </w:rPr>
        <w:t xml:space="preserve">: </w:t>
      </w:r>
      <w:r w:rsidRPr="00F700D9">
        <w:t>Llama 3.1 Swallow 8B and 70</w:t>
      </w:r>
      <w:proofErr w:type="gramStart"/>
      <w:r w:rsidRPr="00F700D9">
        <w:t xml:space="preserve">B </w:t>
      </w:r>
      <w:r w:rsidR="00FA5002">
        <w:rPr>
          <w:rFonts w:hint="eastAsia"/>
        </w:rPr>
        <w:t xml:space="preserve"> instruct</w:t>
      </w:r>
      <w:proofErr w:type="gramEnd"/>
      <w:r w:rsidR="00FA5002">
        <w:rPr>
          <w:rFonts w:hint="eastAsia"/>
        </w:rPr>
        <w:t xml:space="preserve"> v</w:t>
      </w:r>
      <w:r w:rsidR="007D76E6">
        <w:rPr>
          <w:rFonts w:hint="eastAsia"/>
        </w:rPr>
        <w:t xml:space="preserve">0.1 </w:t>
      </w:r>
      <w:r w:rsidRPr="00F700D9">
        <w:t>(Q5_K_S), quantized models trained on the Swallow corpus, fine-tuned on</w:t>
      </w:r>
      <w:r w:rsidR="00AB7AD1">
        <w:rPr>
          <w:rFonts w:hint="eastAsia"/>
        </w:rPr>
        <w:t xml:space="preserve"> </w:t>
      </w:r>
      <w:r w:rsidR="0070105F">
        <w:rPr>
          <w:rFonts w:hint="eastAsia"/>
        </w:rPr>
        <w:t>Japanese and English</w:t>
      </w:r>
      <w:r w:rsidR="0070105F" w:rsidRPr="00F700D9">
        <w:t xml:space="preserve"> </w:t>
      </w:r>
      <w:r w:rsidRPr="00F700D9">
        <w:t>instruction datasets.</w:t>
      </w:r>
    </w:p>
    <w:p w14:paraId="21CE7F3C" w14:textId="0EE19118" w:rsidR="00692A13" w:rsidRPr="00AA2D26" w:rsidRDefault="00692A13" w:rsidP="00AA2D26">
      <w:pPr>
        <w:pStyle w:val="Listbul"/>
        <w:spacing w:before="120"/>
        <w:ind w:left="737" w:hanging="380"/>
      </w:pPr>
      <w:r w:rsidRPr="00692A13">
        <w:rPr>
          <w:b/>
          <w:bCs/>
        </w:rPr>
        <w:t>Cloud-based LLMs</w:t>
      </w:r>
      <w:r w:rsidRPr="00692A13">
        <w:t xml:space="preserve">: </w:t>
      </w:r>
      <w:r w:rsidR="00C92B1F">
        <w:rPr>
          <w:rFonts w:hint="eastAsia"/>
        </w:rPr>
        <w:t>GPT</w:t>
      </w:r>
      <w:r w:rsidRPr="00692A13">
        <w:t xml:space="preserve">-4o-mini (2024-07-18) and </w:t>
      </w:r>
      <w:r w:rsidR="00C92B1F">
        <w:rPr>
          <w:rFonts w:hint="eastAsia"/>
        </w:rPr>
        <w:t>GPT</w:t>
      </w:r>
      <w:r w:rsidRPr="00692A13">
        <w:t>-4o (2024-08-06), cloud-based models from OpenAI suitable for re-ranking tasks.</w:t>
      </w:r>
    </w:p>
    <w:p w14:paraId="7C994636" w14:textId="5633FFBD" w:rsidR="00556E66" w:rsidRDefault="00556E66" w:rsidP="00556E66">
      <w:pPr>
        <w:pStyle w:val="2"/>
      </w:pPr>
      <w:r>
        <w:rPr>
          <w:rFonts w:hint="eastAsia"/>
        </w:rPr>
        <w:t>Evaluation Metrics</w:t>
      </w:r>
    </w:p>
    <w:p w14:paraId="3CDCC666" w14:textId="16AD49AA" w:rsidR="00555EEA" w:rsidRDefault="00CD7FF4" w:rsidP="0065436E">
      <w:pPr>
        <w:ind w:firstLine="0"/>
      </w:pPr>
      <w:r w:rsidRPr="00CD7FF4">
        <w:t>We focused on the top 20 results to align with practical user behavior. Mean average precision (MAP) assesses how well relevant candidates are ranked higher. Normalized discounted cumulative gain @20 (nDCG@20) measures the quality of the top 20 retrieved results, emphasizing the ranking of relevant items. Recall@20 and recall@100 evaluate the coverage of relevant results within the top 20 and 100 retrieved items.</w:t>
      </w:r>
    </w:p>
    <w:p w14:paraId="55DDA444" w14:textId="0E0BF3B0" w:rsidR="00B05D6E" w:rsidRDefault="00B05D6E" w:rsidP="002D45FA">
      <w:pPr>
        <w:pStyle w:val="1"/>
        <w:rPr>
          <w:lang w:eastAsia="en-US"/>
        </w:rPr>
      </w:pPr>
      <w:r>
        <w:rPr>
          <w:lang w:eastAsia="en-US"/>
        </w:rPr>
        <w:t xml:space="preserve"> </w:t>
      </w:r>
      <w:r w:rsidR="002D45FA">
        <w:rPr>
          <w:rFonts w:hint="eastAsia"/>
        </w:rPr>
        <w:t>Results</w:t>
      </w:r>
    </w:p>
    <w:p w14:paraId="1C64B6E2" w14:textId="1A89C557" w:rsidR="009409A7" w:rsidRDefault="00421673" w:rsidP="009409A7">
      <w:pPr>
        <w:pStyle w:val="NoindentNormal"/>
      </w:pPr>
      <w:r w:rsidRPr="00421673">
        <w:t xml:space="preserve">Table 1 summarizes the performance metrics for each method. The Word2Vec approach had the lowest performance, while the Jaccard index and </w:t>
      </w:r>
      <w:proofErr w:type="spellStart"/>
      <w:r w:rsidRPr="00421673">
        <w:t>GLuCoSE</w:t>
      </w:r>
      <w:proofErr w:type="spellEnd"/>
      <w:r w:rsidRPr="00421673">
        <w:t xml:space="preserve"> v1 showed comparable results. </w:t>
      </w:r>
      <w:proofErr w:type="spellStart"/>
      <w:r w:rsidRPr="00421673">
        <w:t>GLuCoSE</w:t>
      </w:r>
      <w:proofErr w:type="spellEnd"/>
      <w:r w:rsidRPr="00421673">
        <w:t xml:space="preserve"> v2 significantly outperformed all other models.</w:t>
      </w:r>
    </w:p>
    <w:p w14:paraId="7A057FFD" w14:textId="35797CF5" w:rsidR="00B304A0" w:rsidRDefault="00B304A0" w:rsidP="00B304A0">
      <w:pPr>
        <w:pStyle w:val="CaptionLong"/>
      </w:pPr>
      <w:r>
        <w:rPr>
          <w:b/>
        </w:rPr>
        <w:t xml:space="preserve">Table </w:t>
      </w:r>
      <w:r>
        <w:rPr>
          <w:rFonts w:hint="eastAsia"/>
          <w:b/>
        </w:rPr>
        <w:t>1</w:t>
      </w:r>
      <w:r>
        <w:rPr>
          <w:b/>
        </w:rPr>
        <w:t>.</w:t>
      </w:r>
      <w:r>
        <w:t xml:space="preserve"> </w:t>
      </w:r>
      <w:r w:rsidR="00400AD5" w:rsidRPr="00400AD5">
        <w:t xml:space="preserve">Performance </w:t>
      </w:r>
      <w:r w:rsidR="00A9219D">
        <w:rPr>
          <w:rFonts w:hint="eastAsia"/>
        </w:rPr>
        <w:t>m</w:t>
      </w:r>
      <w:r w:rsidR="00400AD5" w:rsidRPr="00400AD5">
        <w:t xml:space="preserve">etrics of </w:t>
      </w:r>
      <w:r w:rsidR="00A9219D">
        <w:rPr>
          <w:rFonts w:hint="eastAsia"/>
        </w:rPr>
        <w:t>d</w:t>
      </w:r>
      <w:r w:rsidR="00400AD5" w:rsidRPr="00400AD5">
        <w:t xml:space="preserve">ifferent </w:t>
      </w:r>
      <w:r w:rsidR="00A9219D">
        <w:rPr>
          <w:rFonts w:hint="eastAsia"/>
        </w:rPr>
        <w:t>m</w:t>
      </w:r>
      <w:r w:rsidR="00400AD5" w:rsidRPr="00400AD5">
        <w:t xml:space="preserve">ethods in MedDRA/J </w:t>
      </w:r>
      <w:r w:rsidR="00A9219D">
        <w:rPr>
          <w:rFonts w:hint="eastAsia"/>
        </w:rPr>
        <w:t>t</w:t>
      </w:r>
      <w:r w:rsidR="00400AD5" w:rsidRPr="00400AD5">
        <w:t xml:space="preserve">erminology </w:t>
      </w:r>
      <w:r w:rsidR="00A9219D">
        <w:rPr>
          <w:rFonts w:hint="eastAsia"/>
        </w:rPr>
        <w:t>s</w:t>
      </w:r>
      <w:r w:rsidR="00400AD5" w:rsidRPr="00400AD5">
        <w:t>earch</w:t>
      </w:r>
      <w:r w:rsidR="007D4D8F">
        <w:rPr>
          <w:rFonts w:hint="eastAsia"/>
        </w:rPr>
        <w:t>.</w:t>
      </w:r>
    </w:p>
    <w:tbl>
      <w:tblPr>
        <w:tblW w:w="7031" w:type="dxa"/>
        <w:jc w:val="center"/>
        <w:tblLayout w:type="fixed"/>
        <w:tblLook w:val="00A0" w:firstRow="1" w:lastRow="0" w:firstColumn="1" w:lastColumn="0" w:noHBand="0" w:noVBand="0"/>
      </w:tblPr>
      <w:tblGrid>
        <w:gridCol w:w="1276"/>
        <w:gridCol w:w="1438"/>
        <w:gridCol w:w="1439"/>
        <w:gridCol w:w="1439"/>
        <w:gridCol w:w="1439"/>
      </w:tblGrid>
      <w:tr w:rsidR="00B304A0" w14:paraId="1C5AC833" w14:textId="77777777" w:rsidTr="006E0AC3">
        <w:trPr>
          <w:jc w:val="center"/>
        </w:trPr>
        <w:tc>
          <w:tcPr>
            <w:tcW w:w="1276" w:type="dxa"/>
            <w:tcBorders>
              <w:top w:val="single" w:sz="4" w:space="0" w:color="auto"/>
              <w:bottom w:val="single" w:sz="4" w:space="0" w:color="auto"/>
            </w:tcBorders>
          </w:tcPr>
          <w:p w14:paraId="400C0386" w14:textId="77777777" w:rsidR="00B304A0" w:rsidRPr="00D82BC9" w:rsidRDefault="00B304A0" w:rsidP="00B82091">
            <w:pPr>
              <w:ind w:firstLine="0"/>
              <w:jc w:val="center"/>
              <w:rPr>
                <w:b/>
                <w:sz w:val="16"/>
                <w:szCs w:val="16"/>
              </w:rPr>
            </w:pPr>
            <w:r>
              <w:rPr>
                <w:rFonts w:hint="eastAsia"/>
                <w:b/>
                <w:sz w:val="16"/>
                <w:szCs w:val="16"/>
              </w:rPr>
              <w:t>Method</w:t>
            </w:r>
          </w:p>
        </w:tc>
        <w:tc>
          <w:tcPr>
            <w:tcW w:w="1438" w:type="dxa"/>
            <w:tcBorders>
              <w:top w:val="single" w:sz="4" w:space="0" w:color="auto"/>
              <w:bottom w:val="single" w:sz="4" w:space="0" w:color="auto"/>
            </w:tcBorders>
          </w:tcPr>
          <w:p w14:paraId="27EFF3D6" w14:textId="77777777" w:rsidR="00B304A0" w:rsidRPr="00D82BC9" w:rsidRDefault="00B304A0" w:rsidP="00B82091">
            <w:pPr>
              <w:ind w:firstLine="0"/>
              <w:jc w:val="center"/>
              <w:rPr>
                <w:b/>
                <w:sz w:val="16"/>
                <w:szCs w:val="16"/>
              </w:rPr>
            </w:pPr>
            <w:r>
              <w:rPr>
                <w:rFonts w:hint="eastAsia"/>
                <w:b/>
                <w:sz w:val="16"/>
                <w:szCs w:val="16"/>
              </w:rPr>
              <w:t>MAP</w:t>
            </w:r>
          </w:p>
        </w:tc>
        <w:tc>
          <w:tcPr>
            <w:tcW w:w="1439" w:type="dxa"/>
            <w:tcBorders>
              <w:top w:val="single" w:sz="4" w:space="0" w:color="auto"/>
              <w:bottom w:val="single" w:sz="4" w:space="0" w:color="auto"/>
            </w:tcBorders>
          </w:tcPr>
          <w:p w14:paraId="3B6A2F82" w14:textId="77777777" w:rsidR="00B304A0" w:rsidRPr="00D82BC9" w:rsidRDefault="00B304A0" w:rsidP="00B82091">
            <w:pPr>
              <w:ind w:firstLine="0"/>
              <w:jc w:val="center"/>
              <w:rPr>
                <w:b/>
                <w:sz w:val="16"/>
                <w:szCs w:val="16"/>
              </w:rPr>
            </w:pPr>
            <w:r>
              <w:rPr>
                <w:rFonts w:hint="eastAsia"/>
                <w:b/>
                <w:sz w:val="16"/>
                <w:szCs w:val="16"/>
              </w:rPr>
              <w:t>nDCG@20</w:t>
            </w:r>
          </w:p>
        </w:tc>
        <w:tc>
          <w:tcPr>
            <w:tcW w:w="1439" w:type="dxa"/>
            <w:tcBorders>
              <w:top w:val="single" w:sz="4" w:space="0" w:color="auto"/>
              <w:bottom w:val="single" w:sz="4" w:space="0" w:color="auto"/>
            </w:tcBorders>
          </w:tcPr>
          <w:p w14:paraId="73AD751A" w14:textId="77777777" w:rsidR="00B304A0" w:rsidRPr="00D82BC9" w:rsidRDefault="00B304A0" w:rsidP="00B82091">
            <w:pPr>
              <w:ind w:firstLine="0"/>
              <w:jc w:val="center"/>
              <w:rPr>
                <w:b/>
                <w:sz w:val="16"/>
                <w:szCs w:val="16"/>
              </w:rPr>
            </w:pPr>
            <w:r>
              <w:rPr>
                <w:rFonts w:hint="eastAsia"/>
                <w:b/>
                <w:sz w:val="16"/>
                <w:szCs w:val="16"/>
              </w:rPr>
              <w:t>Recall@20</w:t>
            </w:r>
          </w:p>
        </w:tc>
        <w:tc>
          <w:tcPr>
            <w:tcW w:w="1439" w:type="dxa"/>
            <w:tcBorders>
              <w:top w:val="single" w:sz="4" w:space="0" w:color="auto"/>
              <w:bottom w:val="single" w:sz="4" w:space="0" w:color="auto"/>
            </w:tcBorders>
          </w:tcPr>
          <w:p w14:paraId="60724F58" w14:textId="77777777" w:rsidR="00B304A0" w:rsidRPr="00D82BC9" w:rsidRDefault="00B304A0" w:rsidP="00B82091">
            <w:pPr>
              <w:ind w:firstLine="0"/>
              <w:jc w:val="center"/>
              <w:rPr>
                <w:b/>
                <w:sz w:val="16"/>
                <w:szCs w:val="16"/>
              </w:rPr>
            </w:pPr>
            <w:r>
              <w:rPr>
                <w:rFonts w:hint="eastAsia"/>
                <w:b/>
                <w:sz w:val="16"/>
                <w:szCs w:val="16"/>
              </w:rPr>
              <w:t>Recall@100</w:t>
            </w:r>
          </w:p>
        </w:tc>
      </w:tr>
      <w:tr w:rsidR="00B304A0" w14:paraId="49F4BFF0" w14:textId="77777777" w:rsidTr="006E0AC3">
        <w:trPr>
          <w:jc w:val="center"/>
        </w:trPr>
        <w:tc>
          <w:tcPr>
            <w:tcW w:w="1276" w:type="dxa"/>
            <w:tcBorders>
              <w:top w:val="single" w:sz="4" w:space="0" w:color="auto"/>
            </w:tcBorders>
            <w:vAlign w:val="center"/>
          </w:tcPr>
          <w:p w14:paraId="61BF0F36" w14:textId="3251729B" w:rsidR="00B304A0" w:rsidRDefault="00B304A0" w:rsidP="00B82091">
            <w:pPr>
              <w:tabs>
                <w:tab w:val="decimal" w:pos="180"/>
              </w:tabs>
              <w:ind w:firstLine="0"/>
              <w:rPr>
                <w:sz w:val="16"/>
                <w:szCs w:val="16"/>
              </w:rPr>
            </w:pPr>
            <w:r>
              <w:rPr>
                <w:rFonts w:hint="eastAsia"/>
                <w:sz w:val="16"/>
                <w:szCs w:val="16"/>
              </w:rPr>
              <w:t>Word2Vec</w:t>
            </w:r>
          </w:p>
        </w:tc>
        <w:tc>
          <w:tcPr>
            <w:tcW w:w="1438" w:type="dxa"/>
            <w:tcBorders>
              <w:top w:val="single" w:sz="4" w:space="0" w:color="auto"/>
            </w:tcBorders>
            <w:vAlign w:val="bottom"/>
          </w:tcPr>
          <w:p w14:paraId="79B77DC7" w14:textId="79A67F91" w:rsidR="00B304A0" w:rsidRPr="00440427" w:rsidRDefault="00B304A0" w:rsidP="00B82091">
            <w:pPr>
              <w:ind w:firstLine="0"/>
              <w:jc w:val="center"/>
              <w:rPr>
                <w:bCs/>
                <w:sz w:val="16"/>
                <w:szCs w:val="16"/>
              </w:rPr>
            </w:pPr>
            <w:r w:rsidRPr="00AB191E">
              <w:rPr>
                <w:rFonts w:hint="eastAsia"/>
                <w:bCs/>
                <w:sz w:val="16"/>
                <w:szCs w:val="16"/>
              </w:rPr>
              <w:t>20.6</w:t>
            </w:r>
            <w:r w:rsidRPr="00897DEE">
              <w:rPr>
                <w:rFonts w:hint="eastAsia"/>
                <w:bCs/>
                <w:sz w:val="12"/>
                <w:szCs w:val="12"/>
              </w:rPr>
              <w:t>%</w:t>
            </w:r>
            <w:r w:rsidR="006E0AC3">
              <w:rPr>
                <w:rFonts w:hint="eastAsia"/>
                <w:bCs/>
                <w:sz w:val="12"/>
                <w:szCs w:val="12"/>
              </w:rPr>
              <w:t xml:space="preserve"> </w:t>
            </w:r>
            <w:r w:rsidRPr="00AB191E">
              <w:rPr>
                <w:rFonts w:hint="eastAsia"/>
                <w:bCs/>
                <w:sz w:val="16"/>
                <w:szCs w:val="16"/>
              </w:rPr>
              <w:t>(19.8-21.4)</w:t>
            </w:r>
          </w:p>
        </w:tc>
        <w:tc>
          <w:tcPr>
            <w:tcW w:w="1439" w:type="dxa"/>
            <w:tcBorders>
              <w:top w:val="single" w:sz="4" w:space="0" w:color="auto"/>
            </w:tcBorders>
            <w:vAlign w:val="bottom"/>
          </w:tcPr>
          <w:p w14:paraId="0F614278" w14:textId="295FF8A3" w:rsidR="00B304A0" w:rsidRPr="00440427" w:rsidRDefault="00B304A0" w:rsidP="00B82091">
            <w:pPr>
              <w:ind w:firstLine="0"/>
              <w:jc w:val="center"/>
              <w:rPr>
                <w:bCs/>
                <w:sz w:val="16"/>
                <w:szCs w:val="16"/>
              </w:rPr>
            </w:pPr>
            <w:r w:rsidRPr="00AB191E">
              <w:rPr>
                <w:rFonts w:hint="eastAsia"/>
                <w:bCs/>
                <w:sz w:val="16"/>
                <w:szCs w:val="16"/>
              </w:rPr>
              <w:t>24.9</w:t>
            </w:r>
            <w:r w:rsidRPr="00897DEE">
              <w:rPr>
                <w:rFonts w:hint="eastAsia"/>
                <w:bCs/>
                <w:sz w:val="12"/>
                <w:szCs w:val="12"/>
              </w:rPr>
              <w:t>%</w:t>
            </w:r>
            <w:r w:rsidR="006E0AC3">
              <w:rPr>
                <w:rFonts w:hint="eastAsia"/>
                <w:bCs/>
                <w:sz w:val="16"/>
                <w:szCs w:val="16"/>
              </w:rPr>
              <w:t xml:space="preserve"> </w:t>
            </w:r>
            <w:r w:rsidRPr="00AB191E">
              <w:rPr>
                <w:rFonts w:hint="eastAsia"/>
                <w:bCs/>
                <w:sz w:val="16"/>
                <w:szCs w:val="16"/>
              </w:rPr>
              <w:t>(24.1-25.7)</w:t>
            </w:r>
          </w:p>
        </w:tc>
        <w:tc>
          <w:tcPr>
            <w:tcW w:w="1439" w:type="dxa"/>
            <w:tcBorders>
              <w:top w:val="single" w:sz="4" w:space="0" w:color="auto"/>
            </w:tcBorders>
            <w:vAlign w:val="bottom"/>
          </w:tcPr>
          <w:p w14:paraId="213F9CC9" w14:textId="5D679B56" w:rsidR="00B304A0" w:rsidRPr="00440427" w:rsidRDefault="00B304A0" w:rsidP="00B82091">
            <w:pPr>
              <w:ind w:firstLine="0"/>
              <w:jc w:val="center"/>
              <w:rPr>
                <w:bCs/>
                <w:sz w:val="16"/>
                <w:szCs w:val="16"/>
              </w:rPr>
            </w:pPr>
            <w:r w:rsidRPr="00AB191E">
              <w:rPr>
                <w:rFonts w:hint="eastAsia"/>
                <w:bCs/>
                <w:sz w:val="16"/>
                <w:szCs w:val="16"/>
              </w:rPr>
              <w:t>34.3</w:t>
            </w:r>
            <w:r w:rsidRPr="00897DEE">
              <w:rPr>
                <w:rFonts w:hint="eastAsia"/>
                <w:bCs/>
                <w:sz w:val="12"/>
                <w:szCs w:val="12"/>
              </w:rPr>
              <w:t>%</w:t>
            </w:r>
            <w:r w:rsidR="006E0AC3">
              <w:rPr>
                <w:rFonts w:hint="eastAsia"/>
                <w:bCs/>
                <w:sz w:val="16"/>
                <w:szCs w:val="16"/>
              </w:rPr>
              <w:t xml:space="preserve"> </w:t>
            </w:r>
            <w:r w:rsidRPr="00AB191E">
              <w:rPr>
                <w:rFonts w:hint="eastAsia"/>
                <w:bCs/>
                <w:sz w:val="16"/>
                <w:szCs w:val="16"/>
              </w:rPr>
              <w:t>(33.2-35.3)</w:t>
            </w:r>
          </w:p>
        </w:tc>
        <w:tc>
          <w:tcPr>
            <w:tcW w:w="1439" w:type="dxa"/>
            <w:tcBorders>
              <w:top w:val="single" w:sz="4" w:space="0" w:color="auto"/>
            </w:tcBorders>
            <w:vAlign w:val="bottom"/>
          </w:tcPr>
          <w:p w14:paraId="206E7E6C" w14:textId="3FC92195" w:rsidR="00B304A0" w:rsidRPr="00440427" w:rsidRDefault="00B304A0" w:rsidP="00B82091">
            <w:pPr>
              <w:ind w:firstLine="0"/>
              <w:jc w:val="center"/>
              <w:rPr>
                <w:bCs/>
                <w:sz w:val="16"/>
                <w:szCs w:val="16"/>
              </w:rPr>
            </w:pPr>
            <w:r w:rsidRPr="00AB191E">
              <w:rPr>
                <w:rFonts w:hint="eastAsia"/>
                <w:bCs/>
                <w:sz w:val="16"/>
                <w:szCs w:val="16"/>
              </w:rPr>
              <w:t>45.1</w:t>
            </w:r>
            <w:r w:rsidRPr="00897DEE">
              <w:rPr>
                <w:rFonts w:hint="eastAsia"/>
                <w:bCs/>
                <w:sz w:val="12"/>
                <w:szCs w:val="12"/>
              </w:rPr>
              <w:t>%</w:t>
            </w:r>
            <w:r w:rsidR="006E0AC3">
              <w:rPr>
                <w:rFonts w:hint="eastAsia"/>
                <w:bCs/>
                <w:sz w:val="16"/>
                <w:szCs w:val="16"/>
              </w:rPr>
              <w:t xml:space="preserve"> </w:t>
            </w:r>
            <w:r w:rsidRPr="00AB191E">
              <w:rPr>
                <w:rFonts w:hint="eastAsia"/>
                <w:bCs/>
                <w:sz w:val="16"/>
                <w:szCs w:val="16"/>
              </w:rPr>
              <w:t>(44.1-46.2)</w:t>
            </w:r>
          </w:p>
        </w:tc>
      </w:tr>
      <w:tr w:rsidR="00B304A0" w14:paraId="4406F411" w14:textId="77777777" w:rsidTr="006E0AC3">
        <w:trPr>
          <w:jc w:val="center"/>
        </w:trPr>
        <w:tc>
          <w:tcPr>
            <w:tcW w:w="1276" w:type="dxa"/>
            <w:vAlign w:val="center"/>
          </w:tcPr>
          <w:p w14:paraId="4D7437B3" w14:textId="77777777" w:rsidR="00B304A0" w:rsidRDefault="00B304A0" w:rsidP="00B82091">
            <w:pPr>
              <w:tabs>
                <w:tab w:val="decimal" w:pos="180"/>
              </w:tabs>
              <w:ind w:left="80" w:hangingChars="50" w:hanging="80"/>
              <w:rPr>
                <w:sz w:val="16"/>
                <w:szCs w:val="16"/>
              </w:rPr>
            </w:pPr>
            <w:r w:rsidRPr="001C04C6">
              <w:rPr>
                <w:rFonts w:hint="eastAsia"/>
                <w:sz w:val="16"/>
                <w:szCs w:val="16"/>
              </w:rPr>
              <w:t xml:space="preserve">Jaccard </w:t>
            </w:r>
            <w:r>
              <w:rPr>
                <w:rFonts w:hint="eastAsia"/>
                <w:sz w:val="16"/>
                <w:szCs w:val="16"/>
              </w:rPr>
              <w:t>index</w:t>
            </w:r>
          </w:p>
        </w:tc>
        <w:tc>
          <w:tcPr>
            <w:tcW w:w="1438" w:type="dxa"/>
            <w:vAlign w:val="center"/>
          </w:tcPr>
          <w:p w14:paraId="7E899BE0" w14:textId="504382B5" w:rsidR="00B304A0" w:rsidRPr="00440427" w:rsidRDefault="00B304A0" w:rsidP="00B82091">
            <w:pPr>
              <w:ind w:firstLine="0"/>
              <w:jc w:val="center"/>
              <w:rPr>
                <w:bCs/>
                <w:sz w:val="16"/>
                <w:szCs w:val="16"/>
              </w:rPr>
            </w:pPr>
            <w:r w:rsidRPr="00440427">
              <w:rPr>
                <w:rFonts w:hint="eastAsia"/>
                <w:bCs/>
                <w:sz w:val="16"/>
                <w:szCs w:val="16"/>
              </w:rPr>
              <w:t>33.8</w:t>
            </w:r>
            <w:r w:rsidRPr="00BD5C08">
              <w:rPr>
                <w:rFonts w:hint="eastAsia"/>
                <w:bCs/>
                <w:sz w:val="12"/>
                <w:szCs w:val="12"/>
              </w:rPr>
              <w:t>%</w:t>
            </w:r>
            <w:r w:rsidR="006E0AC3">
              <w:rPr>
                <w:rFonts w:hint="eastAsia"/>
                <w:bCs/>
                <w:sz w:val="16"/>
                <w:szCs w:val="16"/>
              </w:rPr>
              <w:t xml:space="preserve"> </w:t>
            </w:r>
            <w:r w:rsidRPr="00440427">
              <w:rPr>
                <w:rFonts w:hint="eastAsia"/>
                <w:bCs/>
                <w:sz w:val="16"/>
                <w:szCs w:val="16"/>
              </w:rPr>
              <w:t>(33.0-34.6)</w:t>
            </w:r>
          </w:p>
        </w:tc>
        <w:tc>
          <w:tcPr>
            <w:tcW w:w="1439" w:type="dxa"/>
            <w:vAlign w:val="center"/>
          </w:tcPr>
          <w:p w14:paraId="002DD604" w14:textId="627ECBCA" w:rsidR="00B304A0" w:rsidRPr="00440427" w:rsidRDefault="00B304A0" w:rsidP="00B82091">
            <w:pPr>
              <w:ind w:firstLine="0"/>
              <w:jc w:val="center"/>
              <w:rPr>
                <w:bCs/>
                <w:sz w:val="16"/>
                <w:szCs w:val="16"/>
              </w:rPr>
            </w:pPr>
            <w:r w:rsidRPr="00440427">
              <w:rPr>
                <w:rFonts w:hint="eastAsia"/>
                <w:bCs/>
                <w:sz w:val="16"/>
                <w:szCs w:val="16"/>
              </w:rPr>
              <w:t>40.1</w:t>
            </w:r>
            <w:r w:rsidRPr="00BD5C08">
              <w:rPr>
                <w:rFonts w:hint="eastAsia"/>
                <w:bCs/>
                <w:sz w:val="12"/>
                <w:szCs w:val="12"/>
              </w:rPr>
              <w:t>%</w:t>
            </w:r>
            <w:r w:rsidR="006E0AC3">
              <w:rPr>
                <w:rFonts w:hint="eastAsia"/>
                <w:bCs/>
                <w:sz w:val="16"/>
                <w:szCs w:val="16"/>
              </w:rPr>
              <w:t xml:space="preserve"> </w:t>
            </w:r>
            <w:r w:rsidRPr="00440427">
              <w:rPr>
                <w:rFonts w:hint="eastAsia"/>
                <w:bCs/>
                <w:sz w:val="16"/>
                <w:szCs w:val="16"/>
              </w:rPr>
              <w:t>(39.3-40.9)</w:t>
            </w:r>
          </w:p>
        </w:tc>
        <w:tc>
          <w:tcPr>
            <w:tcW w:w="1439" w:type="dxa"/>
            <w:vAlign w:val="center"/>
          </w:tcPr>
          <w:p w14:paraId="797811D2" w14:textId="5881D84B" w:rsidR="00B304A0" w:rsidRPr="00440427" w:rsidRDefault="00B304A0" w:rsidP="00B82091">
            <w:pPr>
              <w:ind w:firstLine="0"/>
              <w:jc w:val="center"/>
              <w:rPr>
                <w:bCs/>
                <w:sz w:val="16"/>
                <w:szCs w:val="16"/>
              </w:rPr>
            </w:pPr>
            <w:r w:rsidRPr="00440427">
              <w:rPr>
                <w:rFonts w:hint="eastAsia"/>
                <w:bCs/>
                <w:sz w:val="16"/>
                <w:szCs w:val="16"/>
              </w:rPr>
              <w:t>51.5</w:t>
            </w:r>
            <w:r w:rsidRPr="00BD5C08">
              <w:rPr>
                <w:rFonts w:hint="eastAsia"/>
                <w:bCs/>
                <w:sz w:val="12"/>
                <w:szCs w:val="12"/>
              </w:rPr>
              <w:t>%</w:t>
            </w:r>
            <w:r w:rsidR="006E0AC3">
              <w:rPr>
                <w:rFonts w:hint="eastAsia"/>
                <w:bCs/>
                <w:sz w:val="16"/>
                <w:szCs w:val="16"/>
              </w:rPr>
              <w:t xml:space="preserve"> </w:t>
            </w:r>
            <w:r w:rsidRPr="00440427">
              <w:rPr>
                <w:rFonts w:hint="eastAsia"/>
                <w:bCs/>
                <w:sz w:val="16"/>
                <w:szCs w:val="16"/>
              </w:rPr>
              <w:t>(50.6-52.5)</w:t>
            </w:r>
          </w:p>
        </w:tc>
        <w:tc>
          <w:tcPr>
            <w:tcW w:w="1439" w:type="dxa"/>
            <w:vAlign w:val="center"/>
          </w:tcPr>
          <w:p w14:paraId="0E50923D" w14:textId="0B3D12CB" w:rsidR="00B304A0" w:rsidRPr="00440427" w:rsidRDefault="00B304A0" w:rsidP="00B82091">
            <w:pPr>
              <w:ind w:firstLine="0"/>
              <w:jc w:val="center"/>
              <w:rPr>
                <w:bCs/>
                <w:sz w:val="16"/>
                <w:szCs w:val="16"/>
              </w:rPr>
            </w:pPr>
            <w:r w:rsidRPr="00440427">
              <w:rPr>
                <w:rFonts w:hint="eastAsia"/>
                <w:bCs/>
                <w:sz w:val="16"/>
                <w:szCs w:val="16"/>
              </w:rPr>
              <w:t>59.6</w:t>
            </w:r>
            <w:r w:rsidRPr="00BD5C08">
              <w:rPr>
                <w:rFonts w:hint="eastAsia"/>
                <w:bCs/>
                <w:sz w:val="12"/>
                <w:szCs w:val="12"/>
              </w:rPr>
              <w:t>%</w:t>
            </w:r>
            <w:r w:rsidR="006E0AC3">
              <w:rPr>
                <w:rFonts w:hint="eastAsia"/>
                <w:bCs/>
                <w:sz w:val="16"/>
                <w:szCs w:val="16"/>
              </w:rPr>
              <w:t xml:space="preserve"> </w:t>
            </w:r>
            <w:r w:rsidRPr="00440427">
              <w:rPr>
                <w:rFonts w:hint="eastAsia"/>
                <w:bCs/>
                <w:sz w:val="16"/>
                <w:szCs w:val="16"/>
              </w:rPr>
              <w:t>(58.6-60.5)</w:t>
            </w:r>
          </w:p>
        </w:tc>
      </w:tr>
      <w:tr w:rsidR="00B304A0" w14:paraId="4B732729" w14:textId="77777777" w:rsidTr="006E0AC3">
        <w:trPr>
          <w:jc w:val="center"/>
        </w:trPr>
        <w:tc>
          <w:tcPr>
            <w:tcW w:w="1276" w:type="dxa"/>
            <w:vAlign w:val="center"/>
          </w:tcPr>
          <w:p w14:paraId="59CE1C12" w14:textId="1186D968" w:rsidR="00B304A0" w:rsidRPr="001C04C6" w:rsidRDefault="00B304A0" w:rsidP="00B82091">
            <w:pPr>
              <w:tabs>
                <w:tab w:val="decimal" w:pos="180"/>
              </w:tabs>
              <w:ind w:left="80" w:hangingChars="50" w:hanging="80"/>
              <w:rPr>
                <w:sz w:val="16"/>
                <w:szCs w:val="16"/>
              </w:rPr>
            </w:pPr>
            <w:r w:rsidRPr="001C04C6">
              <w:rPr>
                <w:sz w:val="16"/>
                <w:szCs w:val="16"/>
              </w:rPr>
              <w:t>GLuCoSEv1</w:t>
            </w:r>
            <w:r w:rsidRPr="001C04C6">
              <w:rPr>
                <w:rFonts w:hint="eastAsia"/>
                <w:sz w:val="16"/>
                <w:szCs w:val="16"/>
              </w:rPr>
              <w:t xml:space="preserve"> </w:t>
            </w:r>
          </w:p>
        </w:tc>
        <w:tc>
          <w:tcPr>
            <w:tcW w:w="1438" w:type="dxa"/>
            <w:vAlign w:val="center"/>
          </w:tcPr>
          <w:p w14:paraId="5317CDF5" w14:textId="41F8FB9F" w:rsidR="00B304A0" w:rsidRPr="00440427" w:rsidRDefault="00B304A0" w:rsidP="00B82091">
            <w:pPr>
              <w:ind w:firstLine="0"/>
              <w:jc w:val="center"/>
              <w:rPr>
                <w:bCs/>
                <w:sz w:val="16"/>
                <w:szCs w:val="16"/>
              </w:rPr>
            </w:pPr>
            <w:r w:rsidRPr="00440427">
              <w:rPr>
                <w:rFonts w:hint="eastAsia"/>
                <w:bCs/>
                <w:sz w:val="16"/>
                <w:szCs w:val="16"/>
              </w:rPr>
              <w:t>32.0</w:t>
            </w:r>
            <w:r w:rsidRPr="00BD5C08">
              <w:rPr>
                <w:rFonts w:hint="eastAsia"/>
                <w:bCs/>
                <w:sz w:val="12"/>
                <w:szCs w:val="12"/>
              </w:rPr>
              <w:t>%</w:t>
            </w:r>
            <w:r w:rsidR="006E0AC3">
              <w:rPr>
                <w:rFonts w:hint="eastAsia"/>
                <w:bCs/>
                <w:sz w:val="16"/>
                <w:szCs w:val="16"/>
              </w:rPr>
              <w:t xml:space="preserve"> </w:t>
            </w:r>
            <w:r w:rsidRPr="00440427">
              <w:rPr>
                <w:rFonts w:hint="eastAsia"/>
                <w:bCs/>
                <w:sz w:val="16"/>
                <w:szCs w:val="16"/>
              </w:rPr>
              <w:t>(31.2-32.9)</w:t>
            </w:r>
          </w:p>
        </w:tc>
        <w:tc>
          <w:tcPr>
            <w:tcW w:w="1439" w:type="dxa"/>
            <w:vAlign w:val="center"/>
          </w:tcPr>
          <w:p w14:paraId="53450DAA" w14:textId="47195EA1" w:rsidR="00B304A0" w:rsidRPr="00440427" w:rsidRDefault="00B304A0" w:rsidP="00B82091">
            <w:pPr>
              <w:ind w:firstLine="0"/>
              <w:jc w:val="center"/>
              <w:rPr>
                <w:bCs/>
                <w:sz w:val="16"/>
                <w:szCs w:val="16"/>
              </w:rPr>
            </w:pPr>
            <w:r w:rsidRPr="00440427">
              <w:rPr>
                <w:rFonts w:hint="eastAsia"/>
                <w:bCs/>
                <w:sz w:val="16"/>
                <w:szCs w:val="16"/>
              </w:rPr>
              <w:t>39.5</w:t>
            </w:r>
            <w:r w:rsidRPr="00BD5C08">
              <w:rPr>
                <w:rFonts w:hint="eastAsia"/>
                <w:bCs/>
                <w:sz w:val="12"/>
                <w:szCs w:val="12"/>
              </w:rPr>
              <w:t>%</w:t>
            </w:r>
            <w:r w:rsidR="006E0AC3">
              <w:rPr>
                <w:rFonts w:hint="eastAsia"/>
                <w:bCs/>
                <w:sz w:val="16"/>
                <w:szCs w:val="16"/>
              </w:rPr>
              <w:t xml:space="preserve"> </w:t>
            </w:r>
            <w:r w:rsidRPr="00440427">
              <w:rPr>
                <w:rFonts w:hint="eastAsia"/>
                <w:bCs/>
                <w:sz w:val="16"/>
                <w:szCs w:val="16"/>
              </w:rPr>
              <w:t>(38.7-40.3)</w:t>
            </w:r>
          </w:p>
        </w:tc>
        <w:tc>
          <w:tcPr>
            <w:tcW w:w="1439" w:type="dxa"/>
            <w:vAlign w:val="center"/>
          </w:tcPr>
          <w:p w14:paraId="1B2A0E8C" w14:textId="216895DB" w:rsidR="00B304A0" w:rsidRPr="00440427" w:rsidRDefault="00B304A0" w:rsidP="00B82091">
            <w:pPr>
              <w:ind w:firstLine="0"/>
              <w:jc w:val="center"/>
              <w:rPr>
                <w:bCs/>
                <w:sz w:val="16"/>
                <w:szCs w:val="16"/>
              </w:rPr>
            </w:pPr>
            <w:r w:rsidRPr="00440427">
              <w:rPr>
                <w:rFonts w:hint="eastAsia"/>
                <w:bCs/>
                <w:sz w:val="16"/>
                <w:szCs w:val="16"/>
              </w:rPr>
              <w:t>52.8</w:t>
            </w:r>
            <w:r w:rsidRPr="00BD5C08">
              <w:rPr>
                <w:rFonts w:hint="eastAsia"/>
                <w:bCs/>
                <w:sz w:val="12"/>
                <w:szCs w:val="12"/>
              </w:rPr>
              <w:t>%</w:t>
            </w:r>
            <w:r w:rsidR="006E0AC3">
              <w:rPr>
                <w:rFonts w:hint="eastAsia"/>
                <w:bCs/>
                <w:sz w:val="16"/>
                <w:szCs w:val="16"/>
              </w:rPr>
              <w:t xml:space="preserve"> </w:t>
            </w:r>
            <w:r w:rsidRPr="00440427">
              <w:rPr>
                <w:rFonts w:hint="eastAsia"/>
                <w:bCs/>
                <w:sz w:val="16"/>
                <w:szCs w:val="16"/>
              </w:rPr>
              <w:t>(51.9-53.8)</w:t>
            </w:r>
          </w:p>
        </w:tc>
        <w:tc>
          <w:tcPr>
            <w:tcW w:w="1439" w:type="dxa"/>
            <w:vAlign w:val="center"/>
          </w:tcPr>
          <w:p w14:paraId="377CD7E4" w14:textId="389695DF" w:rsidR="00B304A0" w:rsidRPr="00440427" w:rsidRDefault="00B304A0" w:rsidP="00B82091">
            <w:pPr>
              <w:ind w:firstLine="0"/>
              <w:jc w:val="center"/>
              <w:rPr>
                <w:bCs/>
                <w:sz w:val="16"/>
                <w:szCs w:val="16"/>
              </w:rPr>
            </w:pPr>
            <w:r w:rsidRPr="00440427">
              <w:rPr>
                <w:rFonts w:hint="eastAsia"/>
                <w:bCs/>
                <w:sz w:val="16"/>
                <w:szCs w:val="16"/>
              </w:rPr>
              <w:t>62.8</w:t>
            </w:r>
            <w:r w:rsidRPr="00BD5C08">
              <w:rPr>
                <w:rFonts w:hint="eastAsia"/>
                <w:bCs/>
                <w:sz w:val="12"/>
                <w:szCs w:val="12"/>
              </w:rPr>
              <w:t>%</w:t>
            </w:r>
            <w:r w:rsidR="006E0AC3">
              <w:rPr>
                <w:rFonts w:hint="eastAsia"/>
                <w:bCs/>
                <w:sz w:val="16"/>
                <w:szCs w:val="16"/>
              </w:rPr>
              <w:t xml:space="preserve"> </w:t>
            </w:r>
            <w:r w:rsidRPr="00440427">
              <w:rPr>
                <w:rFonts w:hint="eastAsia"/>
                <w:bCs/>
                <w:sz w:val="16"/>
                <w:szCs w:val="16"/>
              </w:rPr>
              <w:t>(61.9-63.7)</w:t>
            </w:r>
          </w:p>
        </w:tc>
      </w:tr>
      <w:tr w:rsidR="00B304A0" w14:paraId="5FBE1F8A" w14:textId="77777777" w:rsidTr="006E0AC3">
        <w:trPr>
          <w:jc w:val="center"/>
        </w:trPr>
        <w:tc>
          <w:tcPr>
            <w:tcW w:w="1276" w:type="dxa"/>
            <w:tcBorders>
              <w:bottom w:val="single" w:sz="4" w:space="0" w:color="auto"/>
            </w:tcBorders>
            <w:vAlign w:val="center"/>
          </w:tcPr>
          <w:p w14:paraId="1BB227DD" w14:textId="7D4F2ED0" w:rsidR="00B304A0" w:rsidRDefault="00B304A0" w:rsidP="00B82091">
            <w:pPr>
              <w:tabs>
                <w:tab w:val="decimal" w:pos="180"/>
              </w:tabs>
              <w:ind w:left="80" w:hangingChars="50" w:hanging="80"/>
              <w:rPr>
                <w:sz w:val="16"/>
                <w:szCs w:val="16"/>
              </w:rPr>
            </w:pPr>
            <w:r w:rsidRPr="001C04C6">
              <w:rPr>
                <w:sz w:val="16"/>
                <w:szCs w:val="16"/>
              </w:rPr>
              <w:t>GLuCoSEv2</w:t>
            </w:r>
            <w:r w:rsidRPr="001C04C6">
              <w:rPr>
                <w:rFonts w:hint="eastAsia"/>
                <w:sz w:val="16"/>
                <w:szCs w:val="16"/>
              </w:rPr>
              <w:t xml:space="preserve"> </w:t>
            </w:r>
          </w:p>
        </w:tc>
        <w:tc>
          <w:tcPr>
            <w:tcW w:w="1438" w:type="dxa"/>
            <w:tcBorders>
              <w:bottom w:val="single" w:sz="4" w:space="0" w:color="auto"/>
            </w:tcBorders>
            <w:vAlign w:val="center"/>
          </w:tcPr>
          <w:p w14:paraId="1CB00634" w14:textId="4E7D5442" w:rsidR="00B304A0" w:rsidRPr="00440427" w:rsidRDefault="00B304A0" w:rsidP="00B82091">
            <w:pPr>
              <w:ind w:firstLine="0"/>
              <w:jc w:val="center"/>
              <w:rPr>
                <w:bCs/>
                <w:sz w:val="16"/>
                <w:szCs w:val="16"/>
              </w:rPr>
            </w:pPr>
            <w:r w:rsidRPr="00440427">
              <w:rPr>
                <w:rFonts w:hint="eastAsia"/>
                <w:bCs/>
                <w:sz w:val="16"/>
                <w:szCs w:val="16"/>
              </w:rPr>
              <w:t>45.0</w:t>
            </w:r>
            <w:r w:rsidRPr="00BD5C08">
              <w:rPr>
                <w:rFonts w:hint="eastAsia"/>
                <w:bCs/>
                <w:sz w:val="12"/>
                <w:szCs w:val="12"/>
              </w:rPr>
              <w:t>%</w:t>
            </w:r>
            <w:r w:rsidR="006E0AC3">
              <w:rPr>
                <w:rFonts w:hint="eastAsia"/>
                <w:bCs/>
                <w:sz w:val="16"/>
                <w:szCs w:val="16"/>
              </w:rPr>
              <w:t xml:space="preserve"> </w:t>
            </w:r>
            <w:r w:rsidRPr="00440427">
              <w:rPr>
                <w:rFonts w:hint="eastAsia"/>
                <w:bCs/>
                <w:sz w:val="16"/>
                <w:szCs w:val="16"/>
              </w:rPr>
              <w:t>(44.1-45.8)</w:t>
            </w:r>
          </w:p>
        </w:tc>
        <w:tc>
          <w:tcPr>
            <w:tcW w:w="1439" w:type="dxa"/>
            <w:tcBorders>
              <w:bottom w:val="single" w:sz="4" w:space="0" w:color="auto"/>
            </w:tcBorders>
            <w:vAlign w:val="center"/>
          </w:tcPr>
          <w:p w14:paraId="27EAC638" w14:textId="233A3099" w:rsidR="00B304A0" w:rsidRPr="00440427" w:rsidRDefault="00B304A0" w:rsidP="00B82091">
            <w:pPr>
              <w:ind w:firstLine="0"/>
              <w:jc w:val="center"/>
              <w:rPr>
                <w:bCs/>
                <w:sz w:val="16"/>
                <w:szCs w:val="16"/>
              </w:rPr>
            </w:pPr>
            <w:r w:rsidRPr="00440427">
              <w:rPr>
                <w:rFonts w:hint="eastAsia"/>
                <w:bCs/>
                <w:sz w:val="16"/>
                <w:szCs w:val="16"/>
              </w:rPr>
              <w:t>53.1</w:t>
            </w:r>
            <w:r w:rsidRPr="00BD5C08">
              <w:rPr>
                <w:rFonts w:hint="eastAsia"/>
                <w:bCs/>
                <w:sz w:val="12"/>
                <w:szCs w:val="12"/>
              </w:rPr>
              <w:t>%</w:t>
            </w:r>
            <w:r w:rsidR="006E0AC3">
              <w:rPr>
                <w:rFonts w:hint="eastAsia"/>
                <w:bCs/>
                <w:sz w:val="16"/>
                <w:szCs w:val="16"/>
              </w:rPr>
              <w:t xml:space="preserve"> </w:t>
            </w:r>
            <w:r w:rsidRPr="00440427">
              <w:rPr>
                <w:rFonts w:hint="eastAsia"/>
                <w:bCs/>
                <w:sz w:val="16"/>
                <w:szCs w:val="16"/>
              </w:rPr>
              <w:t>(52.3-53.9)</w:t>
            </w:r>
          </w:p>
        </w:tc>
        <w:tc>
          <w:tcPr>
            <w:tcW w:w="1439" w:type="dxa"/>
            <w:tcBorders>
              <w:bottom w:val="single" w:sz="4" w:space="0" w:color="auto"/>
            </w:tcBorders>
            <w:vAlign w:val="center"/>
          </w:tcPr>
          <w:p w14:paraId="74C31733" w14:textId="2EDB2010" w:rsidR="00B304A0" w:rsidRPr="00440427" w:rsidRDefault="00B304A0" w:rsidP="00B82091">
            <w:pPr>
              <w:ind w:firstLine="0"/>
              <w:jc w:val="center"/>
              <w:rPr>
                <w:bCs/>
                <w:sz w:val="16"/>
                <w:szCs w:val="16"/>
              </w:rPr>
            </w:pPr>
            <w:r w:rsidRPr="00440427">
              <w:rPr>
                <w:rFonts w:hint="eastAsia"/>
                <w:bCs/>
                <w:sz w:val="16"/>
                <w:szCs w:val="16"/>
              </w:rPr>
              <w:t>63.6</w:t>
            </w:r>
            <w:r w:rsidRPr="00BD5C08">
              <w:rPr>
                <w:rFonts w:hint="eastAsia"/>
                <w:bCs/>
                <w:sz w:val="12"/>
                <w:szCs w:val="12"/>
              </w:rPr>
              <w:t>%</w:t>
            </w:r>
            <w:r w:rsidR="006E0AC3">
              <w:rPr>
                <w:rFonts w:hint="eastAsia"/>
                <w:bCs/>
                <w:sz w:val="16"/>
                <w:szCs w:val="16"/>
              </w:rPr>
              <w:t xml:space="preserve"> </w:t>
            </w:r>
            <w:r w:rsidRPr="00440427">
              <w:rPr>
                <w:rFonts w:hint="eastAsia"/>
                <w:bCs/>
                <w:sz w:val="16"/>
                <w:szCs w:val="16"/>
              </w:rPr>
              <w:t>(62.7-64.5)</w:t>
            </w:r>
          </w:p>
        </w:tc>
        <w:tc>
          <w:tcPr>
            <w:tcW w:w="1439" w:type="dxa"/>
            <w:tcBorders>
              <w:bottom w:val="single" w:sz="4" w:space="0" w:color="auto"/>
            </w:tcBorders>
            <w:vAlign w:val="center"/>
          </w:tcPr>
          <w:p w14:paraId="7B5DFCF4" w14:textId="1B05F3C3" w:rsidR="00B304A0" w:rsidRPr="00440427" w:rsidRDefault="00B304A0" w:rsidP="00B82091">
            <w:pPr>
              <w:ind w:firstLine="0"/>
              <w:jc w:val="center"/>
              <w:rPr>
                <w:bCs/>
                <w:sz w:val="16"/>
                <w:szCs w:val="16"/>
              </w:rPr>
            </w:pPr>
            <w:r w:rsidRPr="00440427">
              <w:rPr>
                <w:rFonts w:hint="eastAsia"/>
                <w:bCs/>
                <w:sz w:val="16"/>
                <w:szCs w:val="16"/>
              </w:rPr>
              <w:t>71.2</w:t>
            </w:r>
            <w:r w:rsidRPr="00BD5C08">
              <w:rPr>
                <w:rFonts w:hint="eastAsia"/>
                <w:bCs/>
                <w:sz w:val="12"/>
                <w:szCs w:val="12"/>
              </w:rPr>
              <w:t>%</w:t>
            </w:r>
            <w:r w:rsidR="006E0AC3">
              <w:rPr>
                <w:rFonts w:hint="eastAsia"/>
                <w:bCs/>
                <w:sz w:val="16"/>
                <w:szCs w:val="16"/>
              </w:rPr>
              <w:t xml:space="preserve"> </w:t>
            </w:r>
            <w:r w:rsidRPr="00440427">
              <w:rPr>
                <w:rFonts w:hint="eastAsia"/>
                <w:bCs/>
                <w:sz w:val="16"/>
                <w:szCs w:val="16"/>
              </w:rPr>
              <w:t>(70.4-72.0)</w:t>
            </w:r>
          </w:p>
        </w:tc>
      </w:tr>
    </w:tbl>
    <w:p w14:paraId="7966DBA7" w14:textId="429A1F2D" w:rsidR="00B304A0" w:rsidRPr="00240A3D" w:rsidRDefault="00E81796" w:rsidP="00240A3D">
      <w:pPr>
        <w:pStyle w:val="NoindentNormal"/>
        <w:rPr>
          <w:sz w:val="16"/>
        </w:rPr>
      </w:pPr>
      <w:r w:rsidRPr="00E81796">
        <w:rPr>
          <w:sz w:val="16"/>
        </w:rPr>
        <w:t>Values in parentheses show the 95% confidence interval (CI) range, with lower and upper bounds.</w:t>
      </w:r>
    </w:p>
    <w:p w14:paraId="03650B90" w14:textId="3B34E2C2" w:rsidR="009409A7" w:rsidRDefault="00CB6178" w:rsidP="009409A7">
      <w:r w:rsidRPr="00CB6178">
        <w:t>Figure 1 shows that all methods</w:t>
      </w:r>
      <w:r w:rsidR="006702BA">
        <w:rPr>
          <w:rFonts w:hint="eastAsia"/>
        </w:rPr>
        <w:t xml:space="preserve"> </w:t>
      </w:r>
      <w:r w:rsidR="0048701D">
        <w:rPr>
          <w:rFonts w:hint="eastAsia"/>
        </w:rPr>
        <w:t xml:space="preserve">dramatically </w:t>
      </w:r>
      <w:r w:rsidRPr="00CB6178">
        <w:t xml:space="preserve">improved in nDCG@20, Recall@20, and Recall@100 as the volume of the in-house database increased. Compared to </w:t>
      </w:r>
      <w:proofErr w:type="spellStart"/>
      <w:r w:rsidRPr="00CB6178">
        <w:t>GLuCoSE</w:t>
      </w:r>
      <w:proofErr w:type="spellEnd"/>
      <w:r w:rsidRPr="00CB6178">
        <w:t xml:space="preserve"> v2, our fine-tuned model did not exhibit a statistically significant difference </w:t>
      </w:r>
      <w:r w:rsidRPr="00CB6178">
        <w:lastRenderedPageBreak/>
        <w:t xml:space="preserve">in Recall but achieved a 0.4–0.9% improvement in nDCG@20, indicating </w:t>
      </w:r>
      <w:r w:rsidR="001033D9">
        <w:rPr>
          <w:rFonts w:hint="eastAsia"/>
        </w:rPr>
        <w:t xml:space="preserve">a </w:t>
      </w:r>
      <w:r w:rsidRPr="00CB6178">
        <w:t>better ranking of correct results. With 50</w:t>
      </w:r>
      <w:r w:rsidR="006702BA">
        <w:rPr>
          <w:rFonts w:hint="eastAsia"/>
        </w:rPr>
        <w:t>K</w:t>
      </w:r>
      <w:r w:rsidRPr="00CB6178">
        <w:t xml:space="preserve"> entries from the in-house dataset, our </w:t>
      </w:r>
      <w:r w:rsidR="00123098">
        <w:rPr>
          <w:rFonts w:hint="eastAsia"/>
        </w:rPr>
        <w:t xml:space="preserve">fine-tuned </w:t>
      </w:r>
      <w:r w:rsidRPr="00CB6178">
        <w:t>model reached nDCG@20 of 76.2%, Recall@20 of 90.8%, and Recall@100 of 95.4%.</w:t>
      </w:r>
    </w:p>
    <w:p w14:paraId="3ED108C2" w14:textId="77777777" w:rsidR="00240A3D" w:rsidRPr="005B49A1" w:rsidRDefault="00240A3D" w:rsidP="00240A3D">
      <w:pPr>
        <w:ind w:firstLine="0"/>
        <w:jc w:val="center"/>
      </w:pPr>
      <w:r>
        <w:rPr>
          <w:noProof/>
        </w:rPr>
        <w:drawing>
          <wp:inline distT="0" distB="0" distL="0" distR="0" wp14:anchorId="508DEBA6" wp14:editId="12DAD67E">
            <wp:extent cx="4460875" cy="1784350"/>
            <wp:effectExtent l="0" t="0" r="0" b="6350"/>
            <wp:docPr id="1608741335" name="図 8"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741335" name="図 8" descr="グラフ&#10;&#10;自動的に生成された説明"/>
                    <pic:cNvPicPr>
                      <a:picLocks noChangeAspect="1" noChangeArrowheads="1"/>
                    </pic:cNvPicPr>
                  </pic:nvPicPr>
                  <pic:blipFill>
                    <a:blip r:embed="rId12">
                      <a:extLst>
                        <a:ext uri="{28A0092B-C50C-407E-A947-70E740481C1C}">
                          <a14:useLocalDpi xmlns:a14="http://schemas.microsoft.com/office/drawing/2010/main"/>
                        </a:ext>
                      </a:extLst>
                    </a:blip>
                    <a:srcRect/>
                    <a:stretch>
                      <a:fillRect/>
                    </a:stretch>
                  </pic:blipFill>
                  <pic:spPr bwMode="auto">
                    <a:xfrm>
                      <a:off x="0" y="0"/>
                      <a:ext cx="4460875" cy="1784350"/>
                    </a:xfrm>
                    <a:prstGeom prst="rect">
                      <a:avLst/>
                    </a:prstGeom>
                    <a:noFill/>
                    <a:ln>
                      <a:noFill/>
                    </a:ln>
                  </pic:spPr>
                </pic:pic>
              </a:graphicData>
            </a:graphic>
          </wp:inline>
        </w:drawing>
      </w:r>
    </w:p>
    <w:p w14:paraId="6F5D1230" w14:textId="1CA66473" w:rsidR="00240A3D" w:rsidRPr="00240A3D" w:rsidRDefault="00240A3D" w:rsidP="00240A3D">
      <w:pPr>
        <w:pStyle w:val="CaptionShort"/>
      </w:pPr>
      <w:r>
        <w:rPr>
          <w:b/>
        </w:rPr>
        <w:t>Figure 1.</w:t>
      </w:r>
      <w:r>
        <w:t xml:space="preserve"> </w:t>
      </w:r>
      <w:r w:rsidR="007D4D8F" w:rsidRPr="007D4D8F">
        <w:t xml:space="preserve">Effect of </w:t>
      </w:r>
      <w:r w:rsidR="00A9219D">
        <w:rPr>
          <w:rFonts w:hint="eastAsia"/>
        </w:rPr>
        <w:t>i</w:t>
      </w:r>
      <w:r w:rsidR="007D4D8F" w:rsidRPr="007D4D8F">
        <w:t>n-</w:t>
      </w:r>
      <w:r w:rsidR="00A9219D">
        <w:rPr>
          <w:rFonts w:hint="eastAsia"/>
        </w:rPr>
        <w:t>h</w:t>
      </w:r>
      <w:r w:rsidR="007D4D8F" w:rsidRPr="007D4D8F">
        <w:t xml:space="preserve">ouse </w:t>
      </w:r>
      <w:r w:rsidR="00A9219D">
        <w:rPr>
          <w:rFonts w:hint="eastAsia"/>
        </w:rPr>
        <w:t>d</w:t>
      </w:r>
      <w:r w:rsidR="007D4D8F" w:rsidRPr="007D4D8F">
        <w:t xml:space="preserve">atabase </w:t>
      </w:r>
      <w:r w:rsidR="00A9219D">
        <w:rPr>
          <w:rFonts w:hint="eastAsia"/>
        </w:rPr>
        <w:t>v</w:t>
      </w:r>
      <w:r w:rsidR="007D4D8F" w:rsidRPr="007D4D8F">
        <w:t xml:space="preserve">olume on </w:t>
      </w:r>
      <w:r w:rsidR="00A9219D">
        <w:rPr>
          <w:rFonts w:hint="eastAsia"/>
        </w:rPr>
        <w:t>m</w:t>
      </w:r>
      <w:r w:rsidR="007D4D8F" w:rsidRPr="007D4D8F">
        <w:t xml:space="preserve">odel </w:t>
      </w:r>
      <w:r w:rsidR="00A9219D">
        <w:rPr>
          <w:rFonts w:hint="eastAsia"/>
        </w:rPr>
        <w:t>p</w:t>
      </w:r>
      <w:r w:rsidR="007D4D8F" w:rsidRPr="007D4D8F">
        <w:t xml:space="preserve">erformance </w:t>
      </w:r>
      <w:r w:rsidR="00A9219D">
        <w:rPr>
          <w:rFonts w:hint="eastAsia"/>
        </w:rPr>
        <w:t>m</w:t>
      </w:r>
      <w:r w:rsidR="007D4D8F" w:rsidRPr="007D4D8F">
        <w:t>etrics</w:t>
      </w:r>
      <w:r w:rsidR="008B5E6D">
        <w:rPr>
          <w:rFonts w:hint="eastAsia"/>
        </w:rPr>
        <w:t>.</w:t>
      </w:r>
    </w:p>
    <w:p w14:paraId="278DC82D" w14:textId="523703C0" w:rsidR="009D2542" w:rsidRPr="009409A7" w:rsidRDefault="00C92B1F" w:rsidP="009409A7">
      <w:r w:rsidRPr="00C92B1F">
        <w:t>Table 2 presents the re-ranking evaluation results for 195 challenging cases. All four LLMs significantly outperformed random shuffling. Cloud-based LLMs were statistically more accurate than local LLMs in Recall@20. Interestingly, differences between lightweight and larger models within the cloud-based LLMs (GPT-4o-mini vs. GPT-4o) and local LLMs (8B vs. 70B) were not statistically significant.</w:t>
      </w:r>
    </w:p>
    <w:p w14:paraId="35196796" w14:textId="531233DF" w:rsidR="00240A3D" w:rsidRDefault="00240A3D" w:rsidP="00240A3D">
      <w:pPr>
        <w:pStyle w:val="CaptionLong"/>
      </w:pPr>
      <w:r>
        <w:rPr>
          <w:b/>
        </w:rPr>
        <w:t xml:space="preserve">Table </w:t>
      </w:r>
      <w:r>
        <w:rPr>
          <w:rFonts w:hint="eastAsia"/>
          <w:b/>
        </w:rPr>
        <w:t>2</w:t>
      </w:r>
      <w:r>
        <w:rPr>
          <w:b/>
        </w:rPr>
        <w:t>.</w:t>
      </w:r>
      <w:r>
        <w:t xml:space="preserve"> </w:t>
      </w:r>
      <w:r w:rsidR="00A9219D" w:rsidRPr="00A9219D">
        <w:t>Re-</w:t>
      </w:r>
      <w:r w:rsidR="00A9219D">
        <w:rPr>
          <w:rFonts w:hint="eastAsia"/>
        </w:rPr>
        <w:t>r</w:t>
      </w:r>
      <w:r w:rsidR="00A9219D" w:rsidRPr="00A9219D">
        <w:t xml:space="preserve">anking </w:t>
      </w:r>
      <w:r w:rsidR="00A9219D">
        <w:rPr>
          <w:rFonts w:hint="eastAsia"/>
        </w:rPr>
        <w:t>p</w:t>
      </w:r>
      <w:r w:rsidR="00A9219D" w:rsidRPr="00A9219D">
        <w:t xml:space="preserve">erformance of </w:t>
      </w:r>
      <w:r w:rsidR="00A9219D">
        <w:rPr>
          <w:rFonts w:hint="eastAsia"/>
        </w:rPr>
        <w:t>l</w:t>
      </w:r>
      <w:r w:rsidR="00A9219D" w:rsidRPr="00A9219D">
        <w:t xml:space="preserve">arge </w:t>
      </w:r>
      <w:r w:rsidR="00A9219D">
        <w:rPr>
          <w:rFonts w:hint="eastAsia"/>
        </w:rPr>
        <w:t>l</w:t>
      </w:r>
      <w:r w:rsidR="00A9219D" w:rsidRPr="00A9219D">
        <w:t xml:space="preserve">anguage </w:t>
      </w:r>
      <w:r w:rsidR="00A9219D">
        <w:rPr>
          <w:rFonts w:hint="eastAsia"/>
        </w:rPr>
        <w:t>m</w:t>
      </w:r>
      <w:r w:rsidR="00A9219D" w:rsidRPr="00A9219D">
        <w:t xml:space="preserve">odels </w:t>
      </w:r>
      <w:r w:rsidR="00A9219D">
        <w:rPr>
          <w:rFonts w:hint="eastAsia"/>
        </w:rPr>
        <w:t>c</w:t>
      </w:r>
      <w:r w:rsidR="00A9219D" w:rsidRPr="00A9219D">
        <w:t xml:space="preserve">ompared to </w:t>
      </w:r>
      <w:r w:rsidR="00A9219D">
        <w:rPr>
          <w:rFonts w:hint="eastAsia"/>
        </w:rPr>
        <w:t>b</w:t>
      </w:r>
      <w:r w:rsidR="00A9219D" w:rsidRPr="00A9219D">
        <w:t>aseline</w:t>
      </w:r>
      <w:r w:rsidR="001A318F">
        <w:rPr>
          <w:rFonts w:hint="eastAsia"/>
        </w:rPr>
        <w:t>.</w:t>
      </w:r>
    </w:p>
    <w:tbl>
      <w:tblPr>
        <w:tblW w:w="6947" w:type="dxa"/>
        <w:jc w:val="center"/>
        <w:tblLayout w:type="fixed"/>
        <w:tblLook w:val="00A0" w:firstRow="1" w:lastRow="0" w:firstColumn="1" w:lastColumn="0" w:noHBand="0" w:noVBand="0"/>
      </w:tblPr>
      <w:tblGrid>
        <w:gridCol w:w="2694"/>
        <w:gridCol w:w="1417"/>
        <w:gridCol w:w="1418"/>
        <w:gridCol w:w="1418"/>
      </w:tblGrid>
      <w:tr w:rsidR="00240A3D" w14:paraId="2A47D7EC" w14:textId="77777777" w:rsidTr="00B82091">
        <w:trPr>
          <w:jc w:val="center"/>
        </w:trPr>
        <w:tc>
          <w:tcPr>
            <w:tcW w:w="2694" w:type="dxa"/>
            <w:tcBorders>
              <w:top w:val="single" w:sz="4" w:space="0" w:color="auto"/>
              <w:bottom w:val="single" w:sz="4" w:space="0" w:color="auto"/>
            </w:tcBorders>
          </w:tcPr>
          <w:p w14:paraId="2AA7BCEF" w14:textId="77777777" w:rsidR="00240A3D" w:rsidRPr="00D82BC9" w:rsidRDefault="00240A3D" w:rsidP="00B82091">
            <w:pPr>
              <w:ind w:firstLine="0"/>
              <w:jc w:val="center"/>
              <w:rPr>
                <w:b/>
                <w:sz w:val="16"/>
                <w:szCs w:val="16"/>
              </w:rPr>
            </w:pPr>
            <w:r>
              <w:rPr>
                <w:rFonts w:hint="eastAsia"/>
                <w:b/>
                <w:sz w:val="16"/>
                <w:szCs w:val="16"/>
              </w:rPr>
              <w:t>Method</w:t>
            </w:r>
          </w:p>
        </w:tc>
        <w:tc>
          <w:tcPr>
            <w:tcW w:w="1417" w:type="dxa"/>
            <w:tcBorders>
              <w:top w:val="single" w:sz="4" w:space="0" w:color="auto"/>
              <w:bottom w:val="single" w:sz="4" w:space="0" w:color="auto"/>
            </w:tcBorders>
          </w:tcPr>
          <w:p w14:paraId="0007F5B2" w14:textId="77777777" w:rsidR="00240A3D" w:rsidRPr="00D82BC9" w:rsidRDefault="00240A3D" w:rsidP="00B82091">
            <w:pPr>
              <w:ind w:firstLine="0"/>
              <w:jc w:val="center"/>
              <w:rPr>
                <w:b/>
                <w:sz w:val="16"/>
                <w:szCs w:val="16"/>
              </w:rPr>
            </w:pPr>
            <w:r>
              <w:rPr>
                <w:rFonts w:hint="eastAsia"/>
                <w:b/>
                <w:sz w:val="16"/>
                <w:szCs w:val="16"/>
              </w:rPr>
              <w:t>MAP</w:t>
            </w:r>
          </w:p>
        </w:tc>
        <w:tc>
          <w:tcPr>
            <w:tcW w:w="1418" w:type="dxa"/>
            <w:tcBorders>
              <w:top w:val="single" w:sz="4" w:space="0" w:color="auto"/>
              <w:bottom w:val="single" w:sz="4" w:space="0" w:color="auto"/>
            </w:tcBorders>
          </w:tcPr>
          <w:p w14:paraId="4C694B1C" w14:textId="77777777" w:rsidR="00240A3D" w:rsidRPr="00D82BC9" w:rsidRDefault="00240A3D" w:rsidP="00B82091">
            <w:pPr>
              <w:ind w:firstLine="0"/>
              <w:jc w:val="center"/>
              <w:rPr>
                <w:b/>
                <w:sz w:val="16"/>
                <w:szCs w:val="16"/>
              </w:rPr>
            </w:pPr>
            <w:r>
              <w:rPr>
                <w:rFonts w:hint="eastAsia"/>
                <w:b/>
                <w:sz w:val="16"/>
                <w:szCs w:val="16"/>
              </w:rPr>
              <w:t>nDCG@20</w:t>
            </w:r>
          </w:p>
        </w:tc>
        <w:tc>
          <w:tcPr>
            <w:tcW w:w="1418" w:type="dxa"/>
            <w:tcBorders>
              <w:top w:val="single" w:sz="4" w:space="0" w:color="auto"/>
              <w:bottom w:val="single" w:sz="4" w:space="0" w:color="auto"/>
            </w:tcBorders>
          </w:tcPr>
          <w:p w14:paraId="7E7359C5" w14:textId="77777777" w:rsidR="00240A3D" w:rsidRPr="00D82BC9" w:rsidRDefault="00240A3D" w:rsidP="00B82091">
            <w:pPr>
              <w:ind w:firstLine="0"/>
              <w:jc w:val="center"/>
              <w:rPr>
                <w:b/>
                <w:sz w:val="16"/>
                <w:szCs w:val="16"/>
              </w:rPr>
            </w:pPr>
            <w:r>
              <w:rPr>
                <w:rFonts w:hint="eastAsia"/>
                <w:b/>
                <w:sz w:val="16"/>
                <w:szCs w:val="16"/>
              </w:rPr>
              <w:t>Recall@20</w:t>
            </w:r>
          </w:p>
        </w:tc>
      </w:tr>
      <w:tr w:rsidR="00240A3D" w14:paraId="44E3124F" w14:textId="77777777" w:rsidTr="00B82091">
        <w:trPr>
          <w:jc w:val="center"/>
        </w:trPr>
        <w:tc>
          <w:tcPr>
            <w:tcW w:w="2694" w:type="dxa"/>
            <w:tcBorders>
              <w:top w:val="single" w:sz="4" w:space="0" w:color="auto"/>
            </w:tcBorders>
            <w:vAlign w:val="center"/>
          </w:tcPr>
          <w:p w14:paraId="21334E3B" w14:textId="77777777" w:rsidR="00240A3D" w:rsidRDefault="00240A3D" w:rsidP="00B82091">
            <w:pPr>
              <w:tabs>
                <w:tab w:val="decimal" w:pos="38"/>
              </w:tabs>
              <w:ind w:firstLine="0"/>
              <w:rPr>
                <w:sz w:val="16"/>
                <w:szCs w:val="16"/>
              </w:rPr>
            </w:pPr>
            <w:r>
              <w:rPr>
                <w:rFonts w:hint="eastAsia"/>
                <w:sz w:val="16"/>
                <w:szCs w:val="16"/>
              </w:rPr>
              <w:t>Random shuffle</w:t>
            </w:r>
          </w:p>
        </w:tc>
        <w:tc>
          <w:tcPr>
            <w:tcW w:w="1417" w:type="dxa"/>
            <w:tcBorders>
              <w:top w:val="single" w:sz="4" w:space="0" w:color="auto"/>
            </w:tcBorders>
            <w:vAlign w:val="bottom"/>
          </w:tcPr>
          <w:p w14:paraId="484CEA93" w14:textId="77777777" w:rsidR="00240A3D" w:rsidRPr="00F5422A" w:rsidRDefault="00240A3D" w:rsidP="00B82091">
            <w:pPr>
              <w:ind w:firstLine="0"/>
              <w:jc w:val="center"/>
              <w:rPr>
                <w:sz w:val="16"/>
                <w:szCs w:val="16"/>
              </w:rPr>
            </w:pPr>
            <w:r w:rsidRPr="000848B7">
              <w:rPr>
                <w:rFonts w:hint="eastAsia"/>
                <w:sz w:val="16"/>
                <w:szCs w:val="16"/>
              </w:rPr>
              <w:t>4.8</w:t>
            </w:r>
            <w:r w:rsidRPr="00897DEE">
              <w:rPr>
                <w:rFonts w:hint="eastAsia"/>
                <w:sz w:val="12"/>
                <w:szCs w:val="12"/>
              </w:rPr>
              <w:t>%</w:t>
            </w:r>
            <w:r w:rsidRPr="000848B7">
              <w:rPr>
                <w:rFonts w:hint="eastAsia"/>
                <w:sz w:val="16"/>
                <w:szCs w:val="16"/>
              </w:rPr>
              <w:t xml:space="preserve"> (3.4-6.2)</w:t>
            </w:r>
          </w:p>
        </w:tc>
        <w:tc>
          <w:tcPr>
            <w:tcW w:w="1418" w:type="dxa"/>
            <w:tcBorders>
              <w:top w:val="single" w:sz="4" w:space="0" w:color="auto"/>
            </w:tcBorders>
            <w:vAlign w:val="bottom"/>
          </w:tcPr>
          <w:p w14:paraId="49CFEBA2" w14:textId="77777777" w:rsidR="00240A3D" w:rsidRPr="00F5422A" w:rsidRDefault="00240A3D" w:rsidP="00B82091">
            <w:pPr>
              <w:ind w:firstLine="0"/>
              <w:jc w:val="center"/>
              <w:rPr>
                <w:sz w:val="16"/>
                <w:szCs w:val="16"/>
              </w:rPr>
            </w:pPr>
            <w:r w:rsidRPr="000848B7">
              <w:rPr>
                <w:rFonts w:hint="eastAsia"/>
                <w:sz w:val="16"/>
                <w:szCs w:val="16"/>
              </w:rPr>
              <w:t>6.1</w:t>
            </w:r>
            <w:r w:rsidRPr="00897DEE">
              <w:rPr>
                <w:rFonts w:hint="eastAsia"/>
                <w:sz w:val="12"/>
                <w:szCs w:val="12"/>
              </w:rPr>
              <w:t>%</w:t>
            </w:r>
            <w:r>
              <w:rPr>
                <w:rFonts w:hint="eastAsia"/>
                <w:sz w:val="16"/>
                <w:szCs w:val="16"/>
              </w:rPr>
              <w:t xml:space="preserve"> </w:t>
            </w:r>
            <w:r w:rsidRPr="000848B7">
              <w:rPr>
                <w:rFonts w:hint="eastAsia"/>
                <w:sz w:val="16"/>
                <w:szCs w:val="16"/>
              </w:rPr>
              <w:t>(4.0-8.2)</w:t>
            </w:r>
          </w:p>
        </w:tc>
        <w:tc>
          <w:tcPr>
            <w:tcW w:w="1418" w:type="dxa"/>
            <w:tcBorders>
              <w:top w:val="single" w:sz="4" w:space="0" w:color="auto"/>
            </w:tcBorders>
            <w:vAlign w:val="bottom"/>
          </w:tcPr>
          <w:p w14:paraId="488F84B6" w14:textId="77777777" w:rsidR="00240A3D" w:rsidRPr="00F5422A" w:rsidRDefault="00240A3D" w:rsidP="00B82091">
            <w:pPr>
              <w:ind w:firstLine="0"/>
              <w:jc w:val="center"/>
              <w:rPr>
                <w:sz w:val="16"/>
                <w:szCs w:val="16"/>
              </w:rPr>
            </w:pPr>
            <w:r w:rsidRPr="000848B7">
              <w:rPr>
                <w:rFonts w:hint="eastAsia"/>
                <w:sz w:val="16"/>
                <w:szCs w:val="16"/>
              </w:rPr>
              <w:t>17.7</w:t>
            </w:r>
            <w:r w:rsidRPr="00897DEE">
              <w:rPr>
                <w:rFonts w:hint="eastAsia"/>
                <w:sz w:val="12"/>
                <w:szCs w:val="12"/>
              </w:rPr>
              <w:t>%</w:t>
            </w:r>
            <w:r>
              <w:rPr>
                <w:rFonts w:hint="eastAsia"/>
                <w:sz w:val="16"/>
                <w:szCs w:val="16"/>
              </w:rPr>
              <w:t xml:space="preserve"> </w:t>
            </w:r>
            <w:r w:rsidRPr="000848B7">
              <w:rPr>
                <w:rFonts w:hint="eastAsia"/>
                <w:sz w:val="16"/>
                <w:szCs w:val="16"/>
              </w:rPr>
              <w:t>(12.3-23.1)</w:t>
            </w:r>
          </w:p>
        </w:tc>
      </w:tr>
      <w:tr w:rsidR="00240A3D" w14:paraId="72F99AE0" w14:textId="77777777" w:rsidTr="00B82091">
        <w:trPr>
          <w:jc w:val="center"/>
        </w:trPr>
        <w:tc>
          <w:tcPr>
            <w:tcW w:w="2694" w:type="dxa"/>
          </w:tcPr>
          <w:p w14:paraId="56423285" w14:textId="77777777" w:rsidR="00240A3D" w:rsidRDefault="00240A3D" w:rsidP="00B82091">
            <w:pPr>
              <w:tabs>
                <w:tab w:val="decimal" w:pos="38"/>
              </w:tabs>
              <w:ind w:firstLine="0"/>
              <w:rPr>
                <w:sz w:val="16"/>
                <w:szCs w:val="16"/>
              </w:rPr>
            </w:pPr>
            <w:r w:rsidRPr="00BF32A3">
              <w:rPr>
                <w:rFonts w:hint="eastAsia"/>
                <w:sz w:val="16"/>
                <w:szCs w:val="16"/>
              </w:rPr>
              <w:t xml:space="preserve">Llama 3.1 Swallow </w:t>
            </w:r>
            <w:r>
              <w:rPr>
                <w:rFonts w:hint="eastAsia"/>
                <w:sz w:val="16"/>
                <w:szCs w:val="16"/>
              </w:rPr>
              <w:t>8B (</w:t>
            </w:r>
            <w:r w:rsidRPr="00533EC2">
              <w:rPr>
                <w:sz w:val="16"/>
                <w:szCs w:val="16"/>
              </w:rPr>
              <w:t>Q5_K_S</w:t>
            </w:r>
            <w:r>
              <w:rPr>
                <w:rFonts w:hint="eastAsia"/>
                <w:sz w:val="16"/>
                <w:szCs w:val="16"/>
              </w:rPr>
              <w:t>)</w:t>
            </w:r>
          </w:p>
        </w:tc>
        <w:tc>
          <w:tcPr>
            <w:tcW w:w="1417" w:type="dxa"/>
            <w:vAlign w:val="bottom"/>
          </w:tcPr>
          <w:p w14:paraId="4498FFA4" w14:textId="77777777" w:rsidR="00240A3D" w:rsidRPr="00F5422A" w:rsidRDefault="00240A3D" w:rsidP="00B82091">
            <w:pPr>
              <w:ind w:firstLine="0"/>
              <w:jc w:val="center"/>
              <w:rPr>
                <w:sz w:val="16"/>
                <w:szCs w:val="16"/>
              </w:rPr>
            </w:pPr>
            <w:r w:rsidRPr="004D062E">
              <w:rPr>
                <w:rFonts w:hint="eastAsia"/>
                <w:sz w:val="16"/>
                <w:szCs w:val="16"/>
              </w:rPr>
              <w:t>23.7</w:t>
            </w:r>
            <w:r w:rsidRPr="00897DEE">
              <w:rPr>
                <w:rFonts w:hint="eastAsia"/>
                <w:sz w:val="12"/>
                <w:szCs w:val="12"/>
              </w:rPr>
              <w:t>%</w:t>
            </w:r>
            <w:r>
              <w:rPr>
                <w:rFonts w:hint="eastAsia"/>
                <w:sz w:val="16"/>
                <w:szCs w:val="16"/>
              </w:rPr>
              <w:t xml:space="preserve"> </w:t>
            </w:r>
            <w:r w:rsidRPr="004D062E">
              <w:rPr>
                <w:rFonts w:hint="eastAsia"/>
                <w:sz w:val="16"/>
                <w:szCs w:val="16"/>
              </w:rPr>
              <w:t>(18.7-28.8)</w:t>
            </w:r>
          </w:p>
        </w:tc>
        <w:tc>
          <w:tcPr>
            <w:tcW w:w="1418" w:type="dxa"/>
            <w:vAlign w:val="bottom"/>
          </w:tcPr>
          <w:p w14:paraId="3C9422ED" w14:textId="77777777" w:rsidR="00240A3D" w:rsidRPr="00F5422A" w:rsidRDefault="00240A3D" w:rsidP="00B82091">
            <w:pPr>
              <w:ind w:firstLine="0"/>
              <w:jc w:val="center"/>
              <w:rPr>
                <w:sz w:val="16"/>
                <w:szCs w:val="16"/>
              </w:rPr>
            </w:pPr>
            <w:r w:rsidRPr="004D062E">
              <w:rPr>
                <w:rFonts w:hint="eastAsia"/>
                <w:sz w:val="16"/>
                <w:szCs w:val="16"/>
              </w:rPr>
              <w:t>41.4</w:t>
            </w:r>
            <w:r w:rsidRPr="00897DEE">
              <w:rPr>
                <w:rFonts w:hint="eastAsia"/>
                <w:sz w:val="12"/>
                <w:szCs w:val="12"/>
              </w:rPr>
              <w:t>%</w:t>
            </w:r>
            <w:r>
              <w:rPr>
                <w:rFonts w:hint="eastAsia"/>
                <w:sz w:val="16"/>
                <w:szCs w:val="16"/>
              </w:rPr>
              <w:t xml:space="preserve"> </w:t>
            </w:r>
            <w:r w:rsidRPr="004D062E">
              <w:rPr>
                <w:rFonts w:hint="eastAsia"/>
                <w:sz w:val="16"/>
                <w:szCs w:val="16"/>
              </w:rPr>
              <w:t>(36.6-46.2)</w:t>
            </w:r>
          </w:p>
        </w:tc>
        <w:tc>
          <w:tcPr>
            <w:tcW w:w="1418" w:type="dxa"/>
            <w:vAlign w:val="bottom"/>
          </w:tcPr>
          <w:p w14:paraId="1A0CAA9A" w14:textId="77777777" w:rsidR="00240A3D" w:rsidRPr="00F5422A" w:rsidRDefault="00240A3D" w:rsidP="00B82091">
            <w:pPr>
              <w:ind w:firstLine="0"/>
              <w:jc w:val="center"/>
              <w:rPr>
                <w:sz w:val="16"/>
                <w:szCs w:val="16"/>
              </w:rPr>
            </w:pPr>
            <w:r w:rsidRPr="004D062E">
              <w:rPr>
                <w:rFonts w:hint="eastAsia"/>
                <w:sz w:val="16"/>
                <w:szCs w:val="16"/>
              </w:rPr>
              <w:t>44.9</w:t>
            </w:r>
            <w:r w:rsidRPr="00897DEE">
              <w:rPr>
                <w:rFonts w:hint="eastAsia"/>
                <w:sz w:val="12"/>
                <w:szCs w:val="12"/>
              </w:rPr>
              <w:t>%</w:t>
            </w:r>
            <w:r>
              <w:rPr>
                <w:rFonts w:hint="eastAsia"/>
                <w:sz w:val="16"/>
                <w:szCs w:val="16"/>
              </w:rPr>
              <w:t xml:space="preserve"> </w:t>
            </w:r>
            <w:r w:rsidRPr="004D062E">
              <w:rPr>
                <w:rFonts w:hint="eastAsia"/>
                <w:sz w:val="16"/>
                <w:szCs w:val="16"/>
              </w:rPr>
              <w:t>(37.9-51.9)</w:t>
            </w:r>
          </w:p>
        </w:tc>
      </w:tr>
      <w:tr w:rsidR="00240A3D" w14:paraId="39591D49" w14:textId="77777777" w:rsidTr="00B82091">
        <w:trPr>
          <w:jc w:val="center"/>
        </w:trPr>
        <w:tc>
          <w:tcPr>
            <w:tcW w:w="2694" w:type="dxa"/>
          </w:tcPr>
          <w:p w14:paraId="6CB787C5" w14:textId="77777777" w:rsidR="00240A3D" w:rsidRDefault="00240A3D" w:rsidP="00B82091">
            <w:pPr>
              <w:tabs>
                <w:tab w:val="decimal" w:pos="38"/>
              </w:tabs>
              <w:ind w:firstLine="0"/>
              <w:rPr>
                <w:sz w:val="16"/>
                <w:szCs w:val="16"/>
              </w:rPr>
            </w:pPr>
            <w:r w:rsidRPr="00BF32A3">
              <w:rPr>
                <w:rFonts w:hint="eastAsia"/>
                <w:sz w:val="16"/>
                <w:szCs w:val="16"/>
              </w:rPr>
              <w:t>Llama 3.1 Swallow 70B</w:t>
            </w:r>
            <w:r>
              <w:rPr>
                <w:rFonts w:hint="eastAsia"/>
                <w:sz w:val="16"/>
                <w:szCs w:val="16"/>
              </w:rPr>
              <w:t xml:space="preserve"> (</w:t>
            </w:r>
            <w:r w:rsidRPr="00533EC2">
              <w:rPr>
                <w:sz w:val="16"/>
                <w:szCs w:val="16"/>
              </w:rPr>
              <w:t>Q5_K_S</w:t>
            </w:r>
            <w:r>
              <w:rPr>
                <w:rFonts w:hint="eastAsia"/>
                <w:sz w:val="16"/>
                <w:szCs w:val="16"/>
              </w:rPr>
              <w:t>)</w:t>
            </w:r>
          </w:p>
        </w:tc>
        <w:tc>
          <w:tcPr>
            <w:tcW w:w="1417" w:type="dxa"/>
            <w:vAlign w:val="bottom"/>
          </w:tcPr>
          <w:p w14:paraId="57E08F45" w14:textId="77777777" w:rsidR="00240A3D" w:rsidRPr="00F5422A" w:rsidRDefault="00240A3D" w:rsidP="00B82091">
            <w:pPr>
              <w:ind w:firstLine="0"/>
              <w:jc w:val="center"/>
              <w:rPr>
                <w:sz w:val="16"/>
                <w:szCs w:val="16"/>
              </w:rPr>
            </w:pPr>
            <w:r w:rsidRPr="004D062E">
              <w:rPr>
                <w:rFonts w:hint="eastAsia"/>
                <w:sz w:val="16"/>
                <w:szCs w:val="16"/>
              </w:rPr>
              <w:t>27.5</w:t>
            </w:r>
            <w:r w:rsidRPr="00897DEE">
              <w:rPr>
                <w:rFonts w:hint="eastAsia"/>
                <w:sz w:val="12"/>
                <w:szCs w:val="12"/>
              </w:rPr>
              <w:t>%</w:t>
            </w:r>
            <w:r>
              <w:rPr>
                <w:rFonts w:hint="eastAsia"/>
                <w:sz w:val="16"/>
                <w:szCs w:val="16"/>
              </w:rPr>
              <w:t xml:space="preserve"> </w:t>
            </w:r>
            <w:r w:rsidRPr="004D062E">
              <w:rPr>
                <w:rFonts w:hint="eastAsia"/>
                <w:sz w:val="16"/>
                <w:szCs w:val="16"/>
              </w:rPr>
              <w:t>(22.2-32.7)</w:t>
            </w:r>
          </w:p>
        </w:tc>
        <w:tc>
          <w:tcPr>
            <w:tcW w:w="1418" w:type="dxa"/>
            <w:vAlign w:val="bottom"/>
          </w:tcPr>
          <w:p w14:paraId="5CE529E6" w14:textId="77777777" w:rsidR="00240A3D" w:rsidRPr="00F5422A" w:rsidRDefault="00240A3D" w:rsidP="00B82091">
            <w:pPr>
              <w:ind w:firstLine="0"/>
              <w:jc w:val="center"/>
              <w:rPr>
                <w:sz w:val="16"/>
                <w:szCs w:val="16"/>
              </w:rPr>
            </w:pPr>
            <w:r w:rsidRPr="004D062E">
              <w:rPr>
                <w:rFonts w:hint="eastAsia"/>
                <w:sz w:val="16"/>
                <w:szCs w:val="16"/>
              </w:rPr>
              <w:t>38.3</w:t>
            </w:r>
            <w:r w:rsidRPr="00897DEE">
              <w:rPr>
                <w:rFonts w:hint="eastAsia"/>
                <w:sz w:val="12"/>
                <w:szCs w:val="12"/>
              </w:rPr>
              <w:t>%</w:t>
            </w:r>
            <w:r>
              <w:rPr>
                <w:rFonts w:hint="eastAsia"/>
                <w:sz w:val="16"/>
                <w:szCs w:val="16"/>
              </w:rPr>
              <w:t xml:space="preserve"> </w:t>
            </w:r>
            <w:r w:rsidRPr="004D062E">
              <w:rPr>
                <w:rFonts w:hint="eastAsia"/>
                <w:sz w:val="16"/>
                <w:szCs w:val="16"/>
              </w:rPr>
              <w:t>(33.2-43.4)</w:t>
            </w:r>
          </w:p>
        </w:tc>
        <w:tc>
          <w:tcPr>
            <w:tcW w:w="1418" w:type="dxa"/>
            <w:vAlign w:val="bottom"/>
          </w:tcPr>
          <w:p w14:paraId="5E85429B" w14:textId="77777777" w:rsidR="00240A3D" w:rsidRPr="00F5422A" w:rsidRDefault="00240A3D" w:rsidP="00B82091">
            <w:pPr>
              <w:ind w:firstLine="0"/>
              <w:jc w:val="center"/>
              <w:rPr>
                <w:sz w:val="16"/>
                <w:szCs w:val="16"/>
              </w:rPr>
            </w:pPr>
            <w:r w:rsidRPr="004D062E">
              <w:rPr>
                <w:rFonts w:hint="eastAsia"/>
                <w:sz w:val="16"/>
                <w:szCs w:val="16"/>
              </w:rPr>
              <w:t>51.5</w:t>
            </w:r>
            <w:r w:rsidRPr="00897DEE">
              <w:rPr>
                <w:rFonts w:hint="eastAsia"/>
                <w:sz w:val="12"/>
                <w:szCs w:val="12"/>
              </w:rPr>
              <w:t>%</w:t>
            </w:r>
            <w:r>
              <w:rPr>
                <w:rFonts w:hint="eastAsia"/>
                <w:sz w:val="16"/>
                <w:szCs w:val="16"/>
              </w:rPr>
              <w:t xml:space="preserve"> </w:t>
            </w:r>
            <w:r w:rsidRPr="004D062E">
              <w:rPr>
                <w:rFonts w:hint="eastAsia"/>
                <w:sz w:val="16"/>
                <w:szCs w:val="16"/>
              </w:rPr>
              <w:t>(44.5-58.6)</w:t>
            </w:r>
          </w:p>
        </w:tc>
      </w:tr>
      <w:tr w:rsidR="00240A3D" w14:paraId="3FBC8107" w14:textId="77777777" w:rsidTr="00B82091">
        <w:trPr>
          <w:jc w:val="center"/>
        </w:trPr>
        <w:tc>
          <w:tcPr>
            <w:tcW w:w="2694" w:type="dxa"/>
            <w:vAlign w:val="center"/>
          </w:tcPr>
          <w:p w14:paraId="2AC53F5B" w14:textId="35C7AE39" w:rsidR="00240A3D" w:rsidRDefault="00C92B1F" w:rsidP="00B82091">
            <w:pPr>
              <w:tabs>
                <w:tab w:val="decimal" w:pos="38"/>
              </w:tabs>
              <w:ind w:firstLine="0"/>
              <w:rPr>
                <w:sz w:val="16"/>
                <w:szCs w:val="16"/>
              </w:rPr>
            </w:pPr>
            <w:r>
              <w:rPr>
                <w:rFonts w:hint="eastAsia"/>
                <w:sz w:val="16"/>
                <w:szCs w:val="16"/>
              </w:rPr>
              <w:t>GPT</w:t>
            </w:r>
            <w:r w:rsidR="00240A3D" w:rsidRPr="00F5422A">
              <w:rPr>
                <w:rFonts w:hint="eastAsia"/>
                <w:sz w:val="16"/>
                <w:szCs w:val="16"/>
              </w:rPr>
              <w:t>-4o-mini</w:t>
            </w:r>
            <w:r>
              <w:rPr>
                <w:rFonts w:hint="eastAsia"/>
                <w:sz w:val="16"/>
                <w:szCs w:val="16"/>
              </w:rPr>
              <w:t xml:space="preserve"> (</w:t>
            </w:r>
            <w:r w:rsidR="00240A3D" w:rsidRPr="00DD1016">
              <w:rPr>
                <w:sz w:val="16"/>
                <w:szCs w:val="16"/>
              </w:rPr>
              <w:t>2024-07-18</w:t>
            </w:r>
            <w:r>
              <w:rPr>
                <w:rFonts w:hint="eastAsia"/>
                <w:sz w:val="16"/>
                <w:szCs w:val="16"/>
              </w:rPr>
              <w:t>)</w:t>
            </w:r>
          </w:p>
        </w:tc>
        <w:tc>
          <w:tcPr>
            <w:tcW w:w="1417" w:type="dxa"/>
            <w:vAlign w:val="bottom"/>
          </w:tcPr>
          <w:p w14:paraId="6C1C449F" w14:textId="77777777" w:rsidR="00240A3D" w:rsidRPr="00F5422A" w:rsidRDefault="00240A3D" w:rsidP="00B82091">
            <w:pPr>
              <w:ind w:firstLine="0"/>
              <w:jc w:val="center"/>
              <w:rPr>
                <w:sz w:val="16"/>
                <w:szCs w:val="16"/>
              </w:rPr>
            </w:pPr>
            <w:r w:rsidRPr="00F5422A">
              <w:rPr>
                <w:rFonts w:hint="eastAsia"/>
                <w:sz w:val="16"/>
                <w:szCs w:val="16"/>
              </w:rPr>
              <w:t>32.0</w:t>
            </w:r>
            <w:r w:rsidRPr="00453B21">
              <w:rPr>
                <w:rFonts w:hint="eastAsia"/>
                <w:sz w:val="12"/>
                <w:szCs w:val="12"/>
              </w:rPr>
              <w:t>%</w:t>
            </w:r>
            <w:r>
              <w:rPr>
                <w:rFonts w:hint="eastAsia"/>
                <w:sz w:val="16"/>
                <w:szCs w:val="16"/>
              </w:rPr>
              <w:t xml:space="preserve"> </w:t>
            </w:r>
            <w:r w:rsidRPr="00F5422A">
              <w:rPr>
                <w:rFonts w:hint="eastAsia"/>
                <w:sz w:val="16"/>
                <w:szCs w:val="16"/>
              </w:rPr>
              <w:t>(26.7-37.2)</w:t>
            </w:r>
          </w:p>
        </w:tc>
        <w:tc>
          <w:tcPr>
            <w:tcW w:w="1418" w:type="dxa"/>
            <w:vAlign w:val="bottom"/>
          </w:tcPr>
          <w:p w14:paraId="13817B4E" w14:textId="77777777" w:rsidR="00240A3D" w:rsidRPr="00F5422A" w:rsidRDefault="00240A3D" w:rsidP="00B82091">
            <w:pPr>
              <w:ind w:firstLine="0"/>
              <w:jc w:val="center"/>
              <w:rPr>
                <w:sz w:val="16"/>
                <w:szCs w:val="16"/>
              </w:rPr>
            </w:pPr>
            <w:r w:rsidRPr="00F5422A">
              <w:rPr>
                <w:rFonts w:hint="eastAsia"/>
                <w:sz w:val="16"/>
                <w:szCs w:val="16"/>
              </w:rPr>
              <w:t>40.6</w:t>
            </w:r>
            <w:r w:rsidRPr="00453B21">
              <w:rPr>
                <w:rFonts w:hint="eastAsia"/>
                <w:sz w:val="12"/>
                <w:szCs w:val="12"/>
              </w:rPr>
              <w:t>%</w:t>
            </w:r>
            <w:r>
              <w:rPr>
                <w:rFonts w:hint="eastAsia"/>
                <w:sz w:val="16"/>
                <w:szCs w:val="16"/>
              </w:rPr>
              <w:t xml:space="preserve"> </w:t>
            </w:r>
            <w:r w:rsidRPr="00F5422A">
              <w:rPr>
                <w:rFonts w:hint="eastAsia"/>
                <w:sz w:val="16"/>
                <w:szCs w:val="16"/>
              </w:rPr>
              <w:t>(35.2-45.9)</w:t>
            </w:r>
          </w:p>
        </w:tc>
        <w:tc>
          <w:tcPr>
            <w:tcW w:w="1418" w:type="dxa"/>
            <w:vAlign w:val="bottom"/>
          </w:tcPr>
          <w:p w14:paraId="69641668" w14:textId="77777777" w:rsidR="00240A3D" w:rsidRPr="00F5422A" w:rsidRDefault="00240A3D" w:rsidP="00B82091">
            <w:pPr>
              <w:ind w:firstLine="0"/>
              <w:jc w:val="center"/>
              <w:rPr>
                <w:sz w:val="16"/>
                <w:szCs w:val="16"/>
              </w:rPr>
            </w:pPr>
            <w:r w:rsidRPr="00F5422A">
              <w:rPr>
                <w:rFonts w:hint="eastAsia"/>
                <w:sz w:val="16"/>
                <w:szCs w:val="16"/>
              </w:rPr>
              <w:t>66.2</w:t>
            </w:r>
            <w:r w:rsidRPr="00453B21">
              <w:rPr>
                <w:rFonts w:hint="eastAsia"/>
                <w:sz w:val="12"/>
                <w:szCs w:val="12"/>
              </w:rPr>
              <w:t>%</w:t>
            </w:r>
            <w:r>
              <w:rPr>
                <w:rFonts w:hint="eastAsia"/>
                <w:sz w:val="16"/>
                <w:szCs w:val="16"/>
              </w:rPr>
              <w:t xml:space="preserve"> </w:t>
            </w:r>
            <w:r w:rsidRPr="00F5422A">
              <w:rPr>
                <w:rFonts w:hint="eastAsia"/>
                <w:sz w:val="16"/>
                <w:szCs w:val="16"/>
              </w:rPr>
              <w:t>(59.5-72.8)</w:t>
            </w:r>
          </w:p>
        </w:tc>
      </w:tr>
      <w:tr w:rsidR="00240A3D" w14:paraId="5FD8C5EA" w14:textId="77777777" w:rsidTr="00B82091">
        <w:trPr>
          <w:jc w:val="center"/>
        </w:trPr>
        <w:tc>
          <w:tcPr>
            <w:tcW w:w="2694" w:type="dxa"/>
            <w:tcBorders>
              <w:bottom w:val="single" w:sz="4" w:space="0" w:color="auto"/>
            </w:tcBorders>
            <w:vAlign w:val="center"/>
          </w:tcPr>
          <w:p w14:paraId="3DAEBCF0" w14:textId="7A228F5B" w:rsidR="00240A3D" w:rsidRPr="00F5422A" w:rsidRDefault="00C92B1F" w:rsidP="00B82091">
            <w:pPr>
              <w:tabs>
                <w:tab w:val="decimal" w:pos="38"/>
              </w:tabs>
              <w:ind w:firstLine="0"/>
              <w:rPr>
                <w:sz w:val="16"/>
                <w:szCs w:val="16"/>
              </w:rPr>
            </w:pPr>
            <w:r>
              <w:rPr>
                <w:rFonts w:hint="eastAsia"/>
                <w:sz w:val="16"/>
                <w:szCs w:val="16"/>
              </w:rPr>
              <w:t>GPT</w:t>
            </w:r>
            <w:r w:rsidR="00240A3D" w:rsidRPr="00F5422A">
              <w:rPr>
                <w:rFonts w:hint="eastAsia"/>
                <w:sz w:val="16"/>
                <w:szCs w:val="16"/>
              </w:rPr>
              <w:t>-4o</w:t>
            </w:r>
            <w:r>
              <w:rPr>
                <w:rFonts w:hint="eastAsia"/>
                <w:sz w:val="16"/>
                <w:szCs w:val="16"/>
              </w:rPr>
              <w:t xml:space="preserve"> (</w:t>
            </w:r>
            <w:r w:rsidR="00240A3D" w:rsidRPr="00DD1016">
              <w:rPr>
                <w:sz w:val="16"/>
                <w:szCs w:val="16"/>
              </w:rPr>
              <w:t>2024-08-06</w:t>
            </w:r>
            <w:r>
              <w:rPr>
                <w:rFonts w:hint="eastAsia"/>
                <w:sz w:val="16"/>
                <w:szCs w:val="16"/>
              </w:rPr>
              <w:t>)</w:t>
            </w:r>
          </w:p>
        </w:tc>
        <w:tc>
          <w:tcPr>
            <w:tcW w:w="1417" w:type="dxa"/>
            <w:tcBorders>
              <w:bottom w:val="single" w:sz="4" w:space="0" w:color="auto"/>
            </w:tcBorders>
            <w:vAlign w:val="bottom"/>
          </w:tcPr>
          <w:p w14:paraId="73932365" w14:textId="77777777" w:rsidR="00240A3D" w:rsidRPr="00F5422A" w:rsidRDefault="00240A3D" w:rsidP="00B82091">
            <w:pPr>
              <w:ind w:firstLine="0"/>
              <w:jc w:val="center"/>
              <w:rPr>
                <w:sz w:val="16"/>
                <w:szCs w:val="16"/>
              </w:rPr>
            </w:pPr>
            <w:r w:rsidRPr="00F5422A">
              <w:rPr>
                <w:rFonts w:hint="eastAsia"/>
                <w:sz w:val="16"/>
                <w:szCs w:val="16"/>
              </w:rPr>
              <w:t>35.7</w:t>
            </w:r>
            <w:r w:rsidRPr="00453B21">
              <w:rPr>
                <w:rFonts w:hint="eastAsia"/>
                <w:sz w:val="12"/>
                <w:szCs w:val="12"/>
              </w:rPr>
              <w:t>%</w:t>
            </w:r>
            <w:r>
              <w:rPr>
                <w:rFonts w:hint="eastAsia"/>
                <w:sz w:val="16"/>
                <w:szCs w:val="16"/>
              </w:rPr>
              <w:t xml:space="preserve"> </w:t>
            </w:r>
            <w:r w:rsidRPr="00F5422A">
              <w:rPr>
                <w:rFonts w:hint="eastAsia"/>
                <w:sz w:val="16"/>
                <w:szCs w:val="16"/>
              </w:rPr>
              <w:t>(30.2-41.2)</w:t>
            </w:r>
          </w:p>
        </w:tc>
        <w:tc>
          <w:tcPr>
            <w:tcW w:w="1418" w:type="dxa"/>
            <w:tcBorders>
              <w:bottom w:val="single" w:sz="4" w:space="0" w:color="auto"/>
            </w:tcBorders>
            <w:vAlign w:val="bottom"/>
          </w:tcPr>
          <w:p w14:paraId="6EC1BC38" w14:textId="77777777" w:rsidR="00240A3D" w:rsidRPr="00F5422A" w:rsidRDefault="00240A3D" w:rsidP="00B82091">
            <w:pPr>
              <w:ind w:firstLine="0"/>
              <w:jc w:val="center"/>
              <w:rPr>
                <w:sz w:val="16"/>
                <w:szCs w:val="16"/>
              </w:rPr>
            </w:pPr>
            <w:r w:rsidRPr="00F5422A">
              <w:rPr>
                <w:rFonts w:hint="eastAsia"/>
                <w:sz w:val="16"/>
                <w:szCs w:val="16"/>
              </w:rPr>
              <w:t>39.4</w:t>
            </w:r>
            <w:r w:rsidRPr="00453B21">
              <w:rPr>
                <w:rFonts w:hint="eastAsia"/>
                <w:sz w:val="12"/>
                <w:szCs w:val="12"/>
              </w:rPr>
              <w:t>%</w:t>
            </w:r>
            <w:r>
              <w:rPr>
                <w:rFonts w:hint="eastAsia"/>
                <w:sz w:val="16"/>
                <w:szCs w:val="16"/>
              </w:rPr>
              <w:t xml:space="preserve"> </w:t>
            </w:r>
            <w:r w:rsidRPr="00F5422A">
              <w:rPr>
                <w:rFonts w:hint="eastAsia"/>
                <w:sz w:val="16"/>
                <w:szCs w:val="16"/>
              </w:rPr>
              <w:t>(34.0-44.8)</w:t>
            </w:r>
          </w:p>
        </w:tc>
        <w:tc>
          <w:tcPr>
            <w:tcW w:w="1418" w:type="dxa"/>
            <w:tcBorders>
              <w:bottom w:val="single" w:sz="4" w:space="0" w:color="auto"/>
            </w:tcBorders>
            <w:vAlign w:val="bottom"/>
          </w:tcPr>
          <w:p w14:paraId="195EAB27" w14:textId="77777777" w:rsidR="00240A3D" w:rsidRPr="00F5422A" w:rsidRDefault="00240A3D" w:rsidP="00B82091">
            <w:pPr>
              <w:ind w:firstLine="0"/>
              <w:jc w:val="center"/>
              <w:rPr>
                <w:sz w:val="16"/>
                <w:szCs w:val="16"/>
              </w:rPr>
            </w:pPr>
            <w:r w:rsidRPr="00F5422A">
              <w:rPr>
                <w:rFonts w:hint="eastAsia"/>
                <w:sz w:val="16"/>
                <w:szCs w:val="16"/>
              </w:rPr>
              <w:t>69.5</w:t>
            </w:r>
            <w:r w:rsidRPr="00453B21">
              <w:rPr>
                <w:rFonts w:hint="eastAsia"/>
                <w:sz w:val="12"/>
                <w:szCs w:val="12"/>
              </w:rPr>
              <w:t>%</w:t>
            </w:r>
            <w:r>
              <w:rPr>
                <w:rFonts w:hint="eastAsia"/>
                <w:sz w:val="16"/>
                <w:szCs w:val="16"/>
              </w:rPr>
              <w:t xml:space="preserve"> </w:t>
            </w:r>
            <w:r w:rsidRPr="00F5422A">
              <w:rPr>
                <w:rFonts w:hint="eastAsia"/>
                <w:sz w:val="16"/>
                <w:szCs w:val="16"/>
              </w:rPr>
              <w:t>(62.6-76.4)</w:t>
            </w:r>
          </w:p>
        </w:tc>
      </w:tr>
    </w:tbl>
    <w:p w14:paraId="2AF69D0A" w14:textId="7A8D5DC5" w:rsidR="00C625D1" w:rsidRPr="007E717F" w:rsidRDefault="00E81796" w:rsidP="007E717F">
      <w:pPr>
        <w:pStyle w:val="NoindentNormal"/>
        <w:rPr>
          <w:sz w:val="16"/>
        </w:rPr>
      </w:pPr>
      <w:r w:rsidRPr="00E81796">
        <w:rPr>
          <w:sz w:val="16"/>
        </w:rPr>
        <w:t>Values in parentheses show the 95% confidence interval (CI) range, with lower and upper bounds.</w:t>
      </w:r>
    </w:p>
    <w:p w14:paraId="1AAA06C3" w14:textId="185C6C11" w:rsidR="00C625D1" w:rsidRDefault="00E47F01" w:rsidP="007E717F">
      <w:pPr>
        <w:pStyle w:val="1"/>
      </w:pPr>
      <w:r>
        <w:t>D</w:t>
      </w:r>
      <w:r>
        <w:rPr>
          <w:rFonts w:hint="eastAsia"/>
        </w:rPr>
        <w:t>iscussion</w:t>
      </w:r>
    </w:p>
    <w:p w14:paraId="429C5514" w14:textId="1C59823A" w:rsidR="00655499" w:rsidRDefault="00655499" w:rsidP="00655499">
      <w:r>
        <w:t>This study demonstrated that advanced text embedding models can suggest appropriate LLTs for expressions not directly included in MedDRA/J</w:t>
      </w:r>
      <w:r w:rsidR="004B43F7">
        <w:rPr>
          <w:rFonts w:hint="eastAsia"/>
        </w:rPr>
        <w:t xml:space="preserve"> terminology</w:t>
      </w:r>
      <w:r>
        <w:t>. With 130 million parameters, our model is efficient enough for CPU processing, making it practical for local use.</w:t>
      </w:r>
    </w:p>
    <w:p w14:paraId="0278BE28" w14:textId="09A7096D" w:rsidR="00655499" w:rsidRDefault="005A0D8B" w:rsidP="00655499">
      <w:r w:rsidRPr="005A0D8B">
        <w:t xml:space="preserve">Expanding the search with the in-house database had a more significant impact than introducing the latest embedding model. Even the lowest-performing Word2Vec method outperformed </w:t>
      </w:r>
      <w:proofErr w:type="spellStart"/>
      <w:r w:rsidRPr="005A0D8B">
        <w:t>GLuCoSE</w:t>
      </w:r>
      <w:proofErr w:type="spellEnd"/>
      <w:r w:rsidRPr="005A0D8B">
        <w:t xml:space="preserve"> v2 without in-house data when using 10K entries</w:t>
      </w:r>
      <w:r w:rsidR="00241433">
        <w:rPr>
          <w:rFonts w:hint="eastAsia"/>
        </w:rPr>
        <w:t xml:space="preserve">. This performance </w:t>
      </w:r>
      <w:r w:rsidRPr="005A0D8B">
        <w:t>highlight</w:t>
      </w:r>
      <w:r w:rsidR="00241433">
        <w:rPr>
          <w:rFonts w:hint="eastAsia"/>
        </w:rPr>
        <w:t>s</w:t>
      </w:r>
      <w:r w:rsidRPr="005A0D8B">
        <w:t xml:space="preserve"> the substantial benefit of organizational data.</w:t>
      </w:r>
    </w:p>
    <w:p w14:paraId="6D23A87F" w14:textId="77777777" w:rsidR="00655499" w:rsidRDefault="00655499" w:rsidP="00655499">
      <w:r>
        <w:t>The modest improvements of our fine-tuned model over existing models may be due to the limitations of triplet margin loss, which only leveraged the hierarchical structure of MedDRA/J up to HLT, PT, and LLT levels. Future work could explore advanced tuning techniques, like listwise ranking learning with higher-level hierarchies, although quantifying similarities between LLTs remains challenging.</w:t>
      </w:r>
    </w:p>
    <w:p w14:paraId="0C03F12D" w14:textId="14CE23F5" w:rsidR="00655499" w:rsidRDefault="00655499" w:rsidP="00655499">
      <w:r>
        <w:t xml:space="preserve">Re-ranking experiments indicate that LLMs can enhance MedDRA/J suggestion systems, both locally and </w:t>
      </w:r>
      <w:proofErr w:type="gramStart"/>
      <w:r>
        <w:t>cloud-based</w:t>
      </w:r>
      <w:proofErr w:type="gramEnd"/>
      <w:r>
        <w:t xml:space="preserve">. While tokenized MedDRA/J, including all LLT and synonyms, exceeds LLM context windows, LLMs become feasible after narrowing </w:t>
      </w:r>
      <w:r>
        <w:lastRenderedPageBreak/>
        <w:t>down initial candidates, as in our study. A practical workflow might include a re-ranking option when initial suggestions are insufficient.</w:t>
      </w:r>
    </w:p>
    <w:p w14:paraId="132BDF5D" w14:textId="395CBF1D" w:rsidR="007E717F" w:rsidRPr="007E717F" w:rsidRDefault="00655499" w:rsidP="00655499">
      <w:r>
        <w:t>This study has two significant limitations: Firstly, we use query expressions that may reflect registrants' interpretations rather than original inputs. Secondly, we have yet to perform an external validation. Future studies should address these limitations.</w:t>
      </w:r>
    </w:p>
    <w:p w14:paraId="759FBE95" w14:textId="76871879" w:rsidR="007E717F" w:rsidRDefault="007E717F" w:rsidP="007E717F">
      <w:pPr>
        <w:pStyle w:val="1"/>
      </w:pPr>
      <w:r>
        <w:rPr>
          <w:rFonts w:hint="eastAsia"/>
        </w:rPr>
        <w:t>Conclusions</w:t>
      </w:r>
    </w:p>
    <w:p w14:paraId="600408B0" w14:textId="22EF6D36" w:rsidR="00101C66" w:rsidRPr="00101C66" w:rsidRDefault="009E463E" w:rsidP="00101C66">
      <w:pPr>
        <w:pStyle w:val="NoindentNormal"/>
      </w:pPr>
      <w:r w:rsidRPr="009E463E">
        <w:t>We demonstrated that using an advanced text-embedding model significantly improves the accuracy of MedDRA/J's Japanese term search. In addition, leveraging an in-house adverse event database significantly improved recall and ranking metrics, demonstrating the usefulness of organizational data. These findings suggest that advanced NLP technology could significantly improve MedDRA coding efficiency and accuracy, leading to more effective pharmacovigilance practices.</w:t>
      </w:r>
    </w:p>
    <w:p w14:paraId="045023A4" w14:textId="77777777" w:rsidR="00B05D6E" w:rsidRDefault="00B05D6E">
      <w:pPr>
        <w:pStyle w:val="HeadingUnn1"/>
      </w:pPr>
      <w:r>
        <w:t>References</w:t>
      </w:r>
    </w:p>
    <w:p w14:paraId="08FD009B" w14:textId="77777777" w:rsidR="00E37376" w:rsidRDefault="00E37376" w:rsidP="00E37376">
      <w:pPr>
        <w:pStyle w:val="References"/>
        <w:tabs>
          <w:tab w:val="clear" w:pos="255"/>
          <w:tab w:val="num" w:pos="426"/>
        </w:tabs>
        <w:rPr>
          <w:snapToGrid w:val="0"/>
        </w:rPr>
      </w:pPr>
      <w:proofErr w:type="spellStart"/>
      <w:r w:rsidRPr="00DD7B7A">
        <w:rPr>
          <w:rFonts w:hint="eastAsia"/>
          <w:snapToGrid w:val="0"/>
        </w:rPr>
        <w:t>Souvignet</w:t>
      </w:r>
      <w:proofErr w:type="spellEnd"/>
      <w:r w:rsidRPr="00DD7B7A">
        <w:rPr>
          <w:rFonts w:hint="eastAsia"/>
          <w:snapToGrid w:val="0"/>
        </w:rPr>
        <w:t xml:space="preserve"> J, Declerck G, </w:t>
      </w:r>
      <w:proofErr w:type="spellStart"/>
      <w:r w:rsidRPr="00DD7B7A">
        <w:rPr>
          <w:rFonts w:hint="eastAsia"/>
          <w:snapToGrid w:val="0"/>
        </w:rPr>
        <w:t>Asfari</w:t>
      </w:r>
      <w:proofErr w:type="spellEnd"/>
      <w:r w:rsidRPr="00DD7B7A">
        <w:rPr>
          <w:rFonts w:hint="eastAsia"/>
          <w:snapToGrid w:val="0"/>
        </w:rPr>
        <w:t xml:space="preserve"> H, </w:t>
      </w:r>
      <w:proofErr w:type="spellStart"/>
      <w:r w:rsidRPr="00DD7B7A">
        <w:rPr>
          <w:rFonts w:hint="eastAsia"/>
          <w:snapToGrid w:val="0"/>
        </w:rPr>
        <w:t>Jaulent</w:t>
      </w:r>
      <w:proofErr w:type="spellEnd"/>
      <w:r w:rsidRPr="00DD7B7A">
        <w:rPr>
          <w:rFonts w:hint="eastAsia"/>
          <w:snapToGrid w:val="0"/>
        </w:rPr>
        <w:t xml:space="preserve"> MC, Bousquet C. </w:t>
      </w:r>
      <w:proofErr w:type="spellStart"/>
      <w:r w:rsidRPr="00DD7B7A">
        <w:rPr>
          <w:rFonts w:hint="eastAsia"/>
          <w:snapToGrid w:val="0"/>
        </w:rPr>
        <w:t>OntoADR</w:t>
      </w:r>
      <w:proofErr w:type="spellEnd"/>
      <w:r w:rsidRPr="00DD7B7A">
        <w:rPr>
          <w:rFonts w:hint="eastAsia"/>
          <w:snapToGrid w:val="0"/>
        </w:rPr>
        <w:t xml:space="preserve">: A semantic resource describing adverse drug reactions to support searching, coding, and information retrieval. J Biomed Inform. </w:t>
      </w:r>
      <w:proofErr w:type="gramStart"/>
      <w:r w:rsidRPr="00DD7B7A">
        <w:rPr>
          <w:rFonts w:hint="eastAsia"/>
          <w:snapToGrid w:val="0"/>
        </w:rPr>
        <w:t>2016;63:100</w:t>
      </w:r>
      <w:proofErr w:type="gramEnd"/>
      <w:r w:rsidRPr="00DD7B7A">
        <w:rPr>
          <w:rFonts w:hint="eastAsia"/>
          <w:snapToGrid w:val="0"/>
        </w:rPr>
        <w:t xml:space="preserve">-7. </w:t>
      </w:r>
      <w:proofErr w:type="spellStart"/>
      <w:r w:rsidRPr="00DD7B7A">
        <w:rPr>
          <w:rFonts w:hint="eastAsia"/>
          <w:snapToGrid w:val="0"/>
        </w:rPr>
        <w:t>doi</w:t>
      </w:r>
      <w:proofErr w:type="spellEnd"/>
      <w:r w:rsidRPr="00DD7B7A">
        <w:rPr>
          <w:rFonts w:hint="eastAsia"/>
          <w:snapToGrid w:val="0"/>
        </w:rPr>
        <w:t>: 10.1</w:t>
      </w:r>
      <w:r w:rsidRPr="00DD7B7A">
        <w:rPr>
          <w:snapToGrid w:val="0"/>
        </w:rPr>
        <w:t>016/j.jbi.2016.06.010</w:t>
      </w:r>
    </w:p>
    <w:p w14:paraId="01BEDE75" w14:textId="77777777" w:rsidR="00653D6B" w:rsidRDefault="00E37376" w:rsidP="00653D6B">
      <w:pPr>
        <w:pStyle w:val="References"/>
        <w:tabs>
          <w:tab w:val="clear" w:pos="255"/>
          <w:tab w:val="num" w:pos="426"/>
        </w:tabs>
        <w:rPr>
          <w:snapToGrid w:val="0"/>
        </w:rPr>
      </w:pPr>
      <w:r w:rsidRPr="00E37376">
        <w:rPr>
          <w:rFonts w:hint="eastAsia"/>
          <w:snapToGrid w:val="0"/>
        </w:rPr>
        <w:t xml:space="preserve">Combi C, Zorzi M, </w:t>
      </w:r>
      <w:proofErr w:type="spellStart"/>
      <w:r w:rsidRPr="00E37376">
        <w:rPr>
          <w:rFonts w:hint="eastAsia"/>
          <w:snapToGrid w:val="0"/>
        </w:rPr>
        <w:t>Pozzani</w:t>
      </w:r>
      <w:proofErr w:type="spellEnd"/>
      <w:r w:rsidRPr="00E37376">
        <w:rPr>
          <w:rFonts w:hint="eastAsia"/>
          <w:snapToGrid w:val="0"/>
        </w:rPr>
        <w:t xml:space="preserve"> G, Moretti U, </w:t>
      </w:r>
      <w:proofErr w:type="spellStart"/>
      <w:r w:rsidRPr="00E37376">
        <w:rPr>
          <w:rFonts w:hint="eastAsia"/>
          <w:snapToGrid w:val="0"/>
        </w:rPr>
        <w:t>Arzenton</w:t>
      </w:r>
      <w:proofErr w:type="spellEnd"/>
      <w:r w:rsidRPr="00E37376">
        <w:rPr>
          <w:rFonts w:hint="eastAsia"/>
          <w:snapToGrid w:val="0"/>
        </w:rPr>
        <w:t xml:space="preserve"> E. From narrative descriptions to MedDRA: automagically encoding adverse drug reactions. J Biomed Inform. 2018 </w:t>
      </w:r>
      <w:proofErr w:type="gramStart"/>
      <w:r w:rsidRPr="00E37376">
        <w:rPr>
          <w:rFonts w:hint="eastAsia"/>
          <w:snapToGrid w:val="0"/>
        </w:rPr>
        <w:t>Aug;84:184</w:t>
      </w:r>
      <w:proofErr w:type="gramEnd"/>
      <w:r w:rsidRPr="00E37376">
        <w:rPr>
          <w:rFonts w:hint="eastAsia"/>
          <w:snapToGrid w:val="0"/>
        </w:rPr>
        <w:t xml:space="preserve">-199, </w:t>
      </w:r>
      <w:proofErr w:type="spellStart"/>
      <w:r w:rsidRPr="00E37376">
        <w:rPr>
          <w:rFonts w:hint="eastAsia"/>
          <w:snapToGrid w:val="0"/>
        </w:rPr>
        <w:t>doi</w:t>
      </w:r>
      <w:proofErr w:type="spellEnd"/>
      <w:r w:rsidRPr="00E37376">
        <w:rPr>
          <w:rFonts w:hint="eastAsia"/>
          <w:snapToGrid w:val="0"/>
        </w:rPr>
        <w:t>: 10.1016/j.jbi.2018.07.001</w:t>
      </w:r>
    </w:p>
    <w:p w14:paraId="1E61C585" w14:textId="77777777" w:rsidR="00653D6B" w:rsidRDefault="00653D6B" w:rsidP="00653D6B">
      <w:pPr>
        <w:pStyle w:val="References"/>
        <w:tabs>
          <w:tab w:val="clear" w:pos="255"/>
          <w:tab w:val="num" w:pos="426"/>
        </w:tabs>
        <w:rPr>
          <w:snapToGrid w:val="0"/>
        </w:rPr>
      </w:pPr>
      <w:r w:rsidRPr="00653D6B">
        <w:rPr>
          <w:rFonts w:hint="eastAsia"/>
          <w:snapToGrid w:val="0"/>
        </w:rPr>
        <w:t xml:space="preserve">Martinez Soriano I, Castro Peña JL, Fernandez Breis JT, San Román I, Alonso </w:t>
      </w:r>
      <w:proofErr w:type="spellStart"/>
      <w:r w:rsidRPr="00653D6B">
        <w:rPr>
          <w:rFonts w:hint="eastAsia"/>
          <w:snapToGrid w:val="0"/>
        </w:rPr>
        <w:t>Barriuso</w:t>
      </w:r>
      <w:proofErr w:type="spellEnd"/>
      <w:r w:rsidRPr="00653D6B">
        <w:rPr>
          <w:rFonts w:hint="eastAsia"/>
          <w:snapToGrid w:val="0"/>
        </w:rPr>
        <w:t xml:space="preserve"> A, Guevara Baraza D. Snomed2Vec: Representation of SNOMED CT Terms with Word2Vec. In: Proceedings of the 2019 IEEE 32nd International </w:t>
      </w:r>
      <w:r w:rsidRPr="00653D6B">
        <w:rPr>
          <w:snapToGrid w:val="0"/>
        </w:rPr>
        <w:t xml:space="preserve">Symposium on Computer-Based Medical Systems (CBMS); 2019; Cordoba, Spain. IEEE; 2019. p. 678-83, </w:t>
      </w:r>
      <w:proofErr w:type="spellStart"/>
      <w:r w:rsidRPr="00653D6B">
        <w:rPr>
          <w:snapToGrid w:val="0"/>
        </w:rPr>
        <w:t>doi</w:t>
      </w:r>
      <w:proofErr w:type="spellEnd"/>
      <w:r w:rsidRPr="00653D6B">
        <w:rPr>
          <w:snapToGrid w:val="0"/>
        </w:rPr>
        <w:t>: 10.1109/CBMS.2019.00138</w:t>
      </w:r>
    </w:p>
    <w:p w14:paraId="0295C18B" w14:textId="77777777" w:rsidR="00653D6B" w:rsidRDefault="00653D6B" w:rsidP="00653D6B">
      <w:pPr>
        <w:pStyle w:val="References"/>
        <w:tabs>
          <w:tab w:val="clear" w:pos="255"/>
          <w:tab w:val="num" w:pos="426"/>
        </w:tabs>
        <w:rPr>
          <w:snapToGrid w:val="0"/>
        </w:rPr>
      </w:pPr>
      <w:r w:rsidRPr="00653D6B">
        <w:rPr>
          <w:rFonts w:hint="eastAsia"/>
          <w:snapToGrid w:val="0"/>
        </w:rPr>
        <w:t xml:space="preserve">Lin C, Lou YS, Tsai DJ, Lee CC, Hsu CJ, Wu DC, Wang MC, Fang WH. Projection Word Embedding Model </w:t>
      </w:r>
      <w:proofErr w:type="gramStart"/>
      <w:r w:rsidRPr="00653D6B">
        <w:rPr>
          <w:rFonts w:hint="eastAsia"/>
          <w:snapToGrid w:val="0"/>
        </w:rPr>
        <w:t>With</w:t>
      </w:r>
      <w:proofErr w:type="gramEnd"/>
      <w:r w:rsidRPr="00653D6B">
        <w:rPr>
          <w:rFonts w:hint="eastAsia"/>
          <w:snapToGrid w:val="0"/>
        </w:rPr>
        <w:t xml:space="preserve"> Hybrid Sampling Training for Classifying ICD-10-CM Codes: Longitudinal Observational Study. JMIR Med Inform. 2019 Jul</w:t>
      </w:r>
      <w:r w:rsidRPr="00653D6B">
        <w:rPr>
          <w:snapToGrid w:val="0"/>
        </w:rPr>
        <w:t xml:space="preserve"> 23;7(3), </w:t>
      </w:r>
      <w:proofErr w:type="spellStart"/>
      <w:r w:rsidRPr="00653D6B">
        <w:rPr>
          <w:snapToGrid w:val="0"/>
        </w:rPr>
        <w:t>doi</w:t>
      </w:r>
      <w:proofErr w:type="spellEnd"/>
      <w:r w:rsidRPr="00653D6B">
        <w:rPr>
          <w:snapToGrid w:val="0"/>
        </w:rPr>
        <w:t>: 10.2196/14499</w:t>
      </w:r>
    </w:p>
    <w:p w14:paraId="40662D0A" w14:textId="77777777" w:rsidR="00964BB6" w:rsidRDefault="00653D6B" w:rsidP="00964BB6">
      <w:pPr>
        <w:pStyle w:val="References"/>
        <w:tabs>
          <w:tab w:val="clear" w:pos="255"/>
          <w:tab w:val="num" w:pos="426"/>
        </w:tabs>
        <w:rPr>
          <w:snapToGrid w:val="0"/>
        </w:rPr>
      </w:pPr>
      <w:proofErr w:type="spellStart"/>
      <w:r w:rsidRPr="00653D6B">
        <w:rPr>
          <w:rFonts w:hint="eastAsia"/>
          <w:snapToGrid w:val="0"/>
        </w:rPr>
        <w:t>Böhringer</w:t>
      </w:r>
      <w:proofErr w:type="spellEnd"/>
      <w:r w:rsidRPr="00653D6B">
        <w:rPr>
          <w:rFonts w:hint="eastAsia"/>
          <w:snapToGrid w:val="0"/>
        </w:rPr>
        <w:t xml:space="preserve"> D, Angelova P, Fuhrmann L, Zimmermann J, </w:t>
      </w:r>
      <w:proofErr w:type="spellStart"/>
      <w:r w:rsidRPr="00653D6B">
        <w:rPr>
          <w:rFonts w:hint="eastAsia"/>
          <w:snapToGrid w:val="0"/>
        </w:rPr>
        <w:t>Schargus</w:t>
      </w:r>
      <w:proofErr w:type="spellEnd"/>
      <w:r w:rsidRPr="00653D6B">
        <w:rPr>
          <w:rFonts w:hint="eastAsia"/>
          <w:snapToGrid w:val="0"/>
        </w:rPr>
        <w:t xml:space="preserve"> M, Eter N, Reinhard T. Automatic inference of ICD-10 codes from German ophthalmologic physicians' letters using natural language processing. Sci Rep. 2024 Apr 19;</w:t>
      </w:r>
      <w:r w:rsidRPr="00653D6B">
        <w:rPr>
          <w:snapToGrid w:val="0"/>
        </w:rPr>
        <w:t xml:space="preserve">14(1):9035, </w:t>
      </w:r>
      <w:proofErr w:type="spellStart"/>
      <w:r w:rsidRPr="00653D6B">
        <w:rPr>
          <w:snapToGrid w:val="0"/>
        </w:rPr>
        <w:t>doi</w:t>
      </w:r>
      <w:proofErr w:type="spellEnd"/>
      <w:r w:rsidRPr="00653D6B">
        <w:rPr>
          <w:snapToGrid w:val="0"/>
        </w:rPr>
        <w:t>: 10.1038/s41598-024-59926-3</w:t>
      </w:r>
    </w:p>
    <w:p w14:paraId="14E887D6" w14:textId="65D764E5" w:rsidR="00964BB6" w:rsidRDefault="00964BB6" w:rsidP="00964BB6">
      <w:pPr>
        <w:pStyle w:val="References"/>
        <w:tabs>
          <w:tab w:val="clear" w:pos="255"/>
          <w:tab w:val="num" w:pos="426"/>
        </w:tabs>
        <w:rPr>
          <w:snapToGrid w:val="0"/>
        </w:rPr>
      </w:pPr>
      <w:r w:rsidRPr="00964BB6">
        <w:rPr>
          <w:rFonts w:hint="eastAsia"/>
          <w:snapToGrid w:val="0"/>
        </w:rPr>
        <w:t xml:space="preserve">Mao Y, Fung KW. Use of word and </w:t>
      </w:r>
      <w:r w:rsidRPr="00964BB6">
        <w:rPr>
          <w:snapToGrid w:val="0"/>
        </w:rPr>
        <w:t xml:space="preserve">graph embedding to measure semantic relatedness between Unified Medical Language System concepts. J Am Med Inform Assoc. 2020 Oct 1;27(10):1538-1546, </w:t>
      </w:r>
      <w:proofErr w:type="spellStart"/>
      <w:r w:rsidRPr="00964BB6">
        <w:rPr>
          <w:snapToGrid w:val="0"/>
        </w:rPr>
        <w:t>doi</w:t>
      </w:r>
      <w:proofErr w:type="spellEnd"/>
      <w:r w:rsidRPr="00964BB6">
        <w:rPr>
          <w:snapToGrid w:val="0"/>
        </w:rPr>
        <w:t>: 10.1093/</w:t>
      </w:r>
      <w:proofErr w:type="spellStart"/>
      <w:r w:rsidRPr="00964BB6">
        <w:rPr>
          <w:snapToGrid w:val="0"/>
        </w:rPr>
        <w:t>jamia</w:t>
      </w:r>
      <w:proofErr w:type="spellEnd"/>
      <w:r w:rsidRPr="00964BB6">
        <w:rPr>
          <w:snapToGrid w:val="0"/>
        </w:rPr>
        <w:t>/ocaa136</w:t>
      </w:r>
    </w:p>
    <w:p w14:paraId="487434B9" w14:textId="21EBE62B" w:rsidR="009318B8" w:rsidRPr="009318B8" w:rsidRDefault="009318B8" w:rsidP="009318B8">
      <w:pPr>
        <w:pStyle w:val="References"/>
        <w:tabs>
          <w:tab w:val="clear" w:pos="255"/>
          <w:tab w:val="num" w:pos="426"/>
        </w:tabs>
        <w:rPr>
          <w:snapToGrid w:val="0"/>
        </w:rPr>
      </w:pPr>
      <w:r w:rsidRPr="003D6442">
        <w:rPr>
          <w:snapToGrid w:val="0"/>
        </w:rPr>
        <w:t xml:space="preserve">Reimers N, </w:t>
      </w:r>
      <w:proofErr w:type="spellStart"/>
      <w:r w:rsidRPr="003D6442">
        <w:rPr>
          <w:snapToGrid w:val="0"/>
        </w:rPr>
        <w:t>Gurevych</w:t>
      </w:r>
      <w:proofErr w:type="spellEnd"/>
      <w:r w:rsidRPr="003D6442">
        <w:rPr>
          <w:snapToGrid w:val="0"/>
        </w:rPr>
        <w:t xml:space="preserve"> I. Sentence-BERT: Sentence Embeddings using Siamese BERT-Networks. In: Proceedings of the 2019 Conference on Empirical Methods in Natural Language Processing and the 9th International Joint Conference on Natural Language Processing (EMNLP-IJCNLP); 2019 Nov; Hong Kong, China. Association for Computational Linguistics; 2019. p. 3982-92, </w:t>
      </w:r>
      <w:proofErr w:type="spellStart"/>
      <w:r w:rsidRPr="003D6442">
        <w:rPr>
          <w:snapToGrid w:val="0"/>
        </w:rPr>
        <w:t>doi</w:t>
      </w:r>
      <w:proofErr w:type="spellEnd"/>
      <w:r w:rsidRPr="003D6442">
        <w:rPr>
          <w:snapToGrid w:val="0"/>
        </w:rPr>
        <w:t>: 10.18653/v1/D19-1410</w:t>
      </w:r>
    </w:p>
    <w:p w14:paraId="62D60139" w14:textId="6B982FF2" w:rsidR="00F40A42" w:rsidRDefault="00F40A42" w:rsidP="003D6442">
      <w:pPr>
        <w:pStyle w:val="References"/>
        <w:tabs>
          <w:tab w:val="clear" w:pos="255"/>
          <w:tab w:val="num" w:pos="426"/>
        </w:tabs>
        <w:rPr>
          <w:snapToGrid w:val="0"/>
        </w:rPr>
      </w:pPr>
      <w:r w:rsidRPr="00F40A42">
        <w:rPr>
          <w:snapToGrid w:val="0"/>
        </w:rPr>
        <w:t>Mikolov T, Chen K, Corrado G, Dean J. Efficient Estimation of Word Representations in Vector Space.</w:t>
      </w:r>
      <w:r w:rsidR="009318B8">
        <w:rPr>
          <w:rFonts w:hint="eastAsia"/>
          <w:snapToGrid w:val="0"/>
        </w:rPr>
        <w:t xml:space="preserve"> </w:t>
      </w:r>
      <w:proofErr w:type="spellStart"/>
      <w:r w:rsidR="009318B8" w:rsidRPr="002F7C4B">
        <w:rPr>
          <w:snapToGrid w:val="0"/>
        </w:rPr>
        <w:t>arXiv</w:t>
      </w:r>
      <w:proofErr w:type="spellEnd"/>
      <w:r w:rsidR="009318B8" w:rsidRPr="002F7C4B">
        <w:rPr>
          <w:snapToGrid w:val="0"/>
        </w:rPr>
        <w:t xml:space="preserve"> preprint</w:t>
      </w:r>
      <w:r w:rsidR="009318B8" w:rsidRPr="00F40A42">
        <w:rPr>
          <w:snapToGrid w:val="0"/>
        </w:rPr>
        <w:t xml:space="preserve"> </w:t>
      </w:r>
      <w:r w:rsidRPr="00F40A42">
        <w:rPr>
          <w:snapToGrid w:val="0"/>
        </w:rPr>
        <w:t>2013. doi:10.48550/arXiv.1301.3781</w:t>
      </w:r>
    </w:p>
    <w:p w14:paraId="64D1A278" w14:textId="40C828D7" w:rsidR="003E49CA" w:rsidRPr="003E49CA" w:rsidRDefault="003E49CA" w:rsidP="003E49CA">
      <w:pPr>
        <w:pStyle w:val="References"/>
        <w:tabs>
          <w:tab w:val="clear" w:pos="255"/>
        </w:tabs>
        <w:rPr>
          <w:snapToGrid w:val="0"/>
        </w:rPr>
      </w:pPr>
      <w:r w:rsidRPr="00DD7B7A">
        <w:rPr>
          <w:snapToGrid w:val="0"/>
        </w:rPr>
        <w:t xml:space="preserve">Schroff F, </w:t>
      </w:r>
      <w:proofErr w:type="spellStart"/>
      <w:r w:rsidRPr="00DD7B7A">
        <w:rPr>
          <w:snapToGrid w:val="0"/>
        </w:rPr>
        <w:t>Kalenichenko</w:t>
      </w:r>
      <w:proofErr w:type="spellEnd"/>
      <w:r w:rsidRPr="00DD7B7A">
        <w:rPr>
          <w:snapToGrid w:val="0"/>
        </w:rPr>
        <w:t xml:space="preserve"> D, Philbin J. </w:t>
      </w:r>
      <w:proofErr w:type="spellStart"/>
      <w:r w:rsidRPr="00DD7B7A">
        <w:rPr>
          <w:snapToGrid w:val="0"/>
        </w:rPr>
        <w:t>FaceNet</w:t>
      </w:r>
      <w:proofErr w:type="spellEnd"/>
      <w:r w:rsidRPr="00DD7B7A">
        <w:rPr>
          <w:snapToGrid w:val="0"/>
        </w:rPr>
        <w:t xml:space="preserve">: A unified embedding for face recognition and clustering. In: Proceedings of the IEEE Conference on Computer Vision and Pattern Recognition (CVPR); 2015 Jun 7-12; Boston, MA, USA. IEEE; 2015. p. 815-23, </w:t>
      </w:r>
      <w:proofErr w:type="spellStart"/>
      <w:r w:rsidRPr="00DD7B7A">
        <w:rPr>
          <w:snapToGrid w:val="0"/>
        </w:rPr>
        <w:t>doi</w:t>
      </w:r>
      <w:proofErr w:type="spellEnd"/>
      <w:r w:rsidRPr="00DD7B7A">
        <w:rPr>
          <w:snapToGrid w:val="0"/>
        </w:rPr>
        <w:t>: 10.1109/CVPR.2015.7298682</w:t>
      </w:r>
    </w:p>
    <w:p w14:paraId="75AC28F7" w14:textId="3B49DF70" w:rsidR="003D6442" w:rsidRDefault="002F7C4B" w:rsidP="00964BB6">
      <w:pPr>
        <w:pStyle w:val="References"/>
        <w:tabs>
          <w:tab w:val="clear" w:pos="255"/>
          <w:tab w:val="num" w:pos="426"/>
        </w:tabs>
        <w:rPr>
          <w:snapToGrid w:val="0"/>
        </w:rPr>
      </w:pPr>
      <w:r w:rsidRPr="002F7C4B">
        <w:rPr>
          <w:snapToGrid w:val="0"/>
        </w:rPr>
        <w:t xml:space="preserve">Sun W, Yan L, Ma X, Wang S, Ren P, Chen Z, Yin D, Ren Z. Is ChatGPT Good at Search? Investigating Large Language Models as Re-Ranking Agents. In: Proceedings of the 2023 Conference on Empirical Methods in Natural Language Processing (EMNLP); 2023 Dec; Singapore. Association for Computational Linguistics; 2023. p. 14918–37, </w:t>
      </w:r>
      <w:proofErr w:type="spellStart"/>
      <w:r w:rsidRPr="002F7C4B">
        <w:rPr>
          <w:snapToGrid w:val="0"/>
        </w:rPr>
        <w:t>doi</w:t>
      </w:r>
      <w:proofErr w:type="spellEnd"/>
      <w:r w:rsidRPr="002F7C4B">
        <w:rPr>
          <w:snapToGrid w:val="0"/>
        </w:rPr>
        <w:t>: 10.18653/v1/2023.emnlp-main.923</w:t>
      </w:r>
    </w:p>
    <w:p w14:paraId="0C864878" w14:textId="7B56B1AE" w:rsidR="002F7C4B" w:rsidRDefault="002F7C4B" w:rsidP="00964BB6">
      <w:pPr>
        <w:pStyle w:val="References"/>
        <w:tabs>
          <w:tab w:val="clear" w:pos="255"/>
          <w:tab w:val="num" w:pos="426"/>
        </w:tabs>
        <w:rPr>
          <w:snapToGrid w:val="0"/>
        </w:rPr>
      </w:pPr>
      <w:r w:rsidRPr="002F7C4B">
        <w:rPr>
          <w:snapToGrid w:val="0"/>
        </w:rPr>
        <w:t xml:space="preserve">Pradeep R, </w:t>
      </w:r>
      <w:proofErr w:type="spellStart"/>
      <w:r w:rsidRPr="002F7C4B">
        <w:rPr>
          <w:snapToGrid w:val="0"/>
        </w:rPr>
        <w:t>Sharifymoghaddam</w:t>
      </w:r>
      <w:proofErr w:type="spellEnd"/>
      <w:r w:rsidRPr="002F7C4B">
        <w:rPr>
          <w:snapToGrid w:val="0"/>
        </w:rPr>
        <w:t xml:space="preserve"> S, Lin J. </w:t>
      </w:r>
      <w:proofErr w:type="spellStart"/>
      <w:r w:rsidRPr="002F7C4B">
        <w:rPr>
          <w:snapToGrid w:val="0"/>
        </w:rPr>
        <w:t>RankZephyr</w:t>
      </w:r>
      <w:proofErr w:type="spellEnd"/>
      <w:r w:rsidRPr="002F7C4B">
        <w:rPr>
          <w:snapToGrid w:val="0"/>
        </w:rPr>
        <w:t xml:space="preserve">: Effective and Robust Zero-Shot Listwise Reranking is a Breeze! </w:t>
      </w:r>
      <w:proofErr w:type="spellStart"/>
      <w:r w:rsidRPr="002F7C4B">
        <w:rPr>
          <w:snapToGrid w:val="0"/>
        </w:rPr>
        <w:t>arXiv</w:t>
      </w:r>
      <w:proofErr w:type="spellEnd"/>
      <w:r w:rsidRPr="002F7C4B">
        <w:rPr>
          <w:snapToGrid w:val="0"/>
        </w:rPr>
        <w:t xml:space="preserve"> preprint. 2023. </w:t>
      </w:r>
      <w:proofErr w:type="spellStart"/>
      <w:r w:rsidRPr="002F7C4B">
        <w:rPr>
          <w:snapToGrid w:val="0"/>
        </w:rPr>
        <w:t>doi</w:t>
      </w:r>
      <w:proofErr w:type="spellEnd"/>
      <w:r w:rsidRPr="002F7C4B">
        <w:rPr>
          <w:snapToGrid w:val="0"/>
        </w:rPr>
        <w:t>: 10.48550/arXiv.2312.02724</w:t>
      </w:r>
    </w:p>
    <w:p w14:paraId="06C0F202" w14:textId="5840CF25" w:rsidR="00351C6A" w:rsidRPr="00106AAE" w:rsidRDefault="009C3EB5" w:rsidP="00106AAE">
      <w:pPr>
        <w:pStyle w:val="References"/>
        <w:tabs>
          <w:tab w:val="clear" w:pos="255"/>
        </w:tabs>
        <w:rPr>
          <w:snapToGrid w:val="0"/>
        </w:rPr>
      </w:pPr>
      <w:r w:rsidRPr="009C3EB5">
        <w:rPr>
          <w:snapToGrid w:val="0"/>
        </w:rPr>
        <w:t xml:space="preserve">Pokrywka J, Jassem K, </w:t>
      </w:r>
      <w:proofErr w:type="spellStart"/>
      <w:r w:rsidRPr="009C3EB5">
        <w:rPr>
          <w:snapToGrid w:val="0"/>
        </w:rPr>
        <w:t>Wierzchoń</w:t>
      </w:r>
      <w:proofErr w:type="spellEnd"/>
      <w:r w:rsidRPr="009C3EB5">
        <w:rPr>
          <w:snapToGrid w:val="0"/>
        </w:rPr>
        <w:t xml:space="preserve"> P, </w:t>
      </w:r>
      <w:proofErr w:type="spellStart"/>
      <w:r w:rsidRPr="009C3EB5">
        <w:rPr>
          <w:snapToGrid w:val="0"/>
        </w:rPr>
        <w:t>Badylak</w:t>
      </w:r>
      <w:proofErr w:type="spellEnd"/>
      <w:r w:rsidRPr="009C3EB5">
        <w:rPr>
          <w:snapToGrid w:val="0"/>
        </w:rPr>
        <w:t xml:space="preserve"> P, </w:t>
      </w:r>
      <w:proofErr w:type="spellStart"/>
      <w:r w:rsidRPr="009C3EB5">
        <w:rPr>
          <w:snapToGrid w:val="0"/>
        </w:rPr>
        <w:t>Kurzyp</w:t>
      </w:r>
      <w:proofErr w:type="spellEnd"/>
      <w:r w:rsidRPr="009C3EB5">
        <w:rPr>
          <w:snapToGrid w:val="0"/>
        </w:rPr>
        <w:t xml:space="preserve"> G. Reranking for a Polish Medical Search Engine. In: Proceedings of the 18th Conference on Computer Science and Intelligence Systems; 2023. ACSIS Vol. 35, p. 297–302, </w:t>
      </w:r>
      <w:proofErr w:type="spellStart"/>
      <w:r w:rsidRPr="009C3EB5">
        <w:rPr>
          <w:snapToGrid w:val="0"/>
        </w:rPr>
        <w:t>doi</w:t>
      </w:r>
      <w:proofErr w:type="spellEnd"/>
      <w:r w:rsidRPr="009C3EB5">
        <w:rPr>
          <w:snapToGrid w:val="0"/>
        </w:rPr>
        <w:t>: 10.15439/2023F1627</w:t>
      </w:r>
    </w:p>
    <w:sectPr w:rsidR="00351C6A" w:rsidRPr="00106AAE">
      <w:pgSz w:w="11907" w:h="16840" w:code="9"/>
      <w:pgMar w:top="3119" w:right="2438" w:bottom="2381" w:left="2438" w:header="851"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F90B5" w14:textId="77777777" w:rsidR="007A4961" w:rsidRDefault="007A4961">
      <w:r>
        <w:separator/>
      </w:r>
    </w:p>
  </w:endnote>
  <w:endnote w:type="continuationSeparator" w:id="0">
    <w:p w14:paraId="1844E5E9" w14:textId="77777777" w:rsidR="007A4961" w:rsidRDefault="007A4961">
      <w:r>
        <w:continuationSeparator/>
      </w:r>
    </w:p>
  </w:endnote>
  <w:endnote w:type="continuationNotice" w:id="1">
    <w:p w14:paraId="56B4FEFF" w14:textId="77777777" w:rsidR="007A4961" w:rsidRDefault="007A49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B7F516" w14:textId="77777777" w:rsidR="007A4961" w:rsidRDefault="007A4961">
      <w:r>
        <w:separator/>
      </w:r>
    </w:p>
  </w:footnote>
  <w:footnote w:type="continuationSeparator" w:id="0">
    <w:p w14:paraId="404E0EBB" w14:textId="77777777" w:rsidR="007A4961" w:rsidRDefault="007A4961">
      <w:r>
        <w:continuationSeparator/>
      </w:r>
    </w:p>
  </w:footnote>
  <w:footnote w:type="continuationNotice" w:id="1">
    <w:p w14:paraId="16A6022B" w14:textId="77777777" w:rsidR="007A4961" w:rsidRDefault="007A4961"/>
  </w:footnote>
  <w:footnote w:id="2">
    <w:p w14:paraId="161729AE" w14:textId="0E7506FD" w:rsidR="00112583" w:rsidRPr="00696581" w:rsidRDefault="00351971">
      <w:pPr>
        <w:pStyle w:val="a7"/>
        <w:rPr>
          <w:sz w:val="16"/>
          <w:szCs w:val="16"/>
        </w:rPr>
      </w:pPr>
      <w:r w:rsidRPr="00696581">
        <w:rPr>
          <w:rStyle w:val="a9"/>
          <w:sz w:val="16"/>
          <w:szCs w:val="16"/>
        </w:rPr>
        <w:footnoteRef/>
      </w:r>
      <w:r w:rsidRPr="00696581">
        <w:rPr>
          <w:sz w:val="16"/>
          <w:szCs w:val="16"/>
        </w:rPr>
        <w:t xml:space="preserve"> </w:t>
      </w:r>
      <w:r w:rsidR="002C3FDC" w:rsidRPr="00696581">
        <w:rPr>
          <w:rStyle w:val="FootnoteChar"/>
          <w:szCs w:val="16"/>
        </w:rPr>
        <w:t xml:space="preserve">Corresponding Author: </w:t>
      </w:r>
      <w:r w:rsidR="002C3FDC" w:rsidRPr="00696581">
        <w:rPr>
          <w:rStyle w:val="FootnoteChar"/>
          <w:rFonts w:hint="eastAsia"/>
          <w:szCs w:val="16"/>
        </w:rPr>
        <w:t>Shoya Wada</w:t>
      </w:r>
      <w:r w:rsidR="002C3FDC" w:rsidRPr="00696581">
        <w:rPr>
          <w:rStyle w:val="FootnoteChar"/>
          <w:szCs w:val="16"/>
        </w:rPr>
        <w:t xml:space="preserve">; E-mail: </w:t>
      </w:r>
      <w:hyperlink r:id="rId1" w:history="1">
        <w:r w:rsidR="00112583" w:rsidRPr="00696581">
          <w:rPr>
            <w:rStyle w:val="aa"/>
            <w:sz w:val="16"/>
            <w:szCs w:val="16"/>
          </w:rPr>
          <w:t>wada@hp-info.med.osaka-u.ac.jp</w:t>
        </w:r>
      </w:hyperlink>
    </w:p>
  </w:footnote>
  <w:footnote w:id="3">
    <w:p w14:paraId="101CF1FD" w14:textId="77777777" w:rsidR="006318EC" w:rsidRPr="00112583" w:rsidRDefault="006318EC" w:rsidP="006318EC">
      <w:pPr>
        <w:pStyle w:val="a7"/>
      </w:pPr>
      <w:r w:rsidRPr="00696581">
        <w:rPr>
          <w:rStyle w:val="a9"/>
          <w:sz w:val="16"/>
          <w:szCs w:val="16"/>
        </w:rPr>
        <w:footnoteRef/>
      </w:r>
      <w:r w:rsidRPr="00696581">
        <w:rPr>
          <w:sz w:val="16"/>
          <w:szCs w:val="16"/>
        </w:rPr>
        <w:t xml:space="preserve"> </w:t>
      </w:r>
      <w:hyperlink r:id="rId2" w:history="1">
        <w:r w:rsidRPr="00696581">
          <w:rPr>
            <w:rStyle w:val="aa"/>
            <w:sz w:val="16"/>
            <w:szCs w:val="16"/>
          </w:rPr>
          <w:t>https://www.jmo.gr.jp/jmo/servlet/MDRTopmenu</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36EC8536"/>
    <w:lvl w:ilvl="0">
      <w:start w:val="1"/>
      <w:numFmt w:val="decimal"/>
      <w:pStyle w:val="a"/>
      <w:lvlText w:val="%1."/>
      <w:lvlJc w:val="left"/>
      <w:pPr>
        <w:tabs>
          <w:tab w:val="num" w:pos="360"/>
        </w:tabs>
        <w:ind w:left="360" w:hanging="360"/>
      </w:pPr>
    </w:lvl>
  </w:abstractNum>
  <w:abstractNum w:abstractNumId="1" w15:restartNumberingAfterBreak="0">
    <w:nsid w:val="2853357A"/>
    <w:multiLevelType w:val="multilevel"/>
    <w:tmpl w:val="FAAA08D2"/>
    <w:lvl w:ilvl="0">
      <w:start w:val="1"/>
      <w:numFmt w:val="decimal"/>
      <w:lvlText w:val="[%1]"/>
      <w:lvlJc w:val="left"/>
      <w:pPr>
        <w:tabs>
          <w:tab w:val="num" w:pos="360"/>
        </w:tabs>
        <w:ind w:left="312" w:hanging="312"/>
      </w:pPr>
      <w:rPr>
        <w:rFonts w:hint="default"/>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B6D7EBC"/>
    <w:multiLevelType w:val="multilevel"/>
    <w:tmpl w:val="AB66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BB51F1"/>
    <w:multiLevelType w:val="multilevel"/>
    <w:tmpl w:val="D558440E"/>
    <w:lvl w:ilvl="0">
      <w:start w:val="1"/>
      <w:numFmt w:val="bullet"/>
      <w:pStyle w:val="Listbul"/>
      <w:lvlText w:val=""/>
      <w:lvlJc w:val="left"/>
      <w:pPr>
        <w:tabs>
          <w:tab w:val="num" w:pos="717"/>
        </w:tabs>
        <w:ind w:left="717" w:hanging="360"/>
      </w:pPr>
      <w:rPr>
        <w:rFonts w:ascii="Symbol" w:hAnsi="Symbol" w:hint="default"/>
      </w:rPr>
    </w:lvl>
    <w:lvl w:ilvl="1">
      <w:start w:val="1"/>
      <w:numFmt w:val="bullet"/>
      <w:lvlText w:val="o"/>
      <w:lvlJc w:val="left"/>
      <w:pPr>
        <w:tabs>
          <w:tab w:val="num" w:pos="1097"/>
        </w:tabs>
        <w:ind w:left="1077" w:hanging="340"/>
      </w:pPr>
      <w:rPr>
        <w:rFonts w:hint="default"/>
      </w:rPr>
    </w:lvl>
    <w:lvl w:ilvl="2">
      <w:start w:val="1"/>
      <w:numFmt w:val="bullet"/>
      <w:lvlText w:val=""/>
      <w:lvlJc w:val="left"/>
      <w:pPr>
        <w:tabs>
          <w:tab w:val="num" w:pos="2157"/>
        </w:tabs>
        <w:ind w:left="2157" w:hanging="360"/>
      </w:pPr>
      <w:rPr>
        <w:rFonts w:ascii="Wingdings" w:hAnsi="Wingdings" w:cs="Wingdings" w:hint="default"/>
      </w:rPr>
    </w:lvl>
    <w:lvl w:ilvl="3">
      <w:start w:val="1"/>
      <w:numFmt w:val="bullet"/>
      <w:lvlText w:val=""/>
      <w:lvlJc w:val="left"/>
      <w:pPr>
        <w:tabs>
          <w:tab w:val="num" w:pos="2877"/>
        </w:tabs>
        <w:ind w:left="2877" w:hanging="360"/>
      </w:pPr>
      <w:rPr>
        <w:rFonts w:ascii="Symbol" w:hAnsi="Symbol" w:cs="Symbol" w:hint="default"/>
      </w:rPr>
    </w:lvl>
    <w:lvl w:ilvl="4">
      <w:start w:val="1"/>
      <w:numFmt w:val="bullet"/>
      <w:lvlText w:val="o"/>
      <w:lvlJc w:val="left"/>
      <w:pPr>
        <w:tabs>
          <w:tab w:val="num" w:pos="3597"/>
        </w:tabs>
        <w:ind w:left="3597" w:hanging="360"/>
      </w:pPr>
      <w:rPr>
        <w:rFonts w:ascii="Courier New" w:hAnsi="Courier New" w:cs="Courier New" w:hint="default"/>
      </w:rPr>
    </w:lvl>
    <w:lvl w:ilvl="5">
      <w:start w:val="1"/>
      <w:numFmt w:val="bullet"/>
      <w:lvlText w:val=""/>
      <w:lvlJc w:val="left"/>
      <w:pPr>
        <w:tabs>
          <w:tab w:val="num" w:pos="4317"/>
        </w:tabs>
        <w:ind w:left="4317" w:hanging="360"/>
      </w:pPr>
      <w:rPr>
        <w:rFonts w:ascii="Wingdings" w:hAnsi="Wingdings" w:cs="Wingdings" w:hint="default"/>
      </w:rPr>
    </w:lvl>
    <w:lvl w:ilvl="6">
      <w:start w:val="1"/>
      <w:numFmt w:val="bullet"/>
      <w:lvlText w:val=""/>
      <w:lvlJc w:val="left"/>
      <w:pPr>
        <w:tabs>
          <w:tab w:val="num" w:pos="5037"/>
        </w:tabs>
        <w:ind w:left="5037" w:hanging="360"/>
      </w:pPr>
      <w:rPr>
        <w:rFonts w:ascii="Symbol" w:hAnsi="Symbol" w:cs="Symbol" w:hint="default"/>
      </w:rPr>
    </w:lvl>
    <w:lvl w:ilvl="7">
      <w:start w:val="1"/>
      <w:numFmt w:val="bullet"/>
      <w:lvlText w:val="o"/>
      <w:lvlJc w:val="left"/>
      <w:pPr>
        <w:tabs>
          <w:tab w:val="num" w:pos="5757"/>
        </w:tabs>
        <w:ind w:left="5757" w:hanging="360"/>
      </w:pPr>
      <w:rPr>
        <w:rFonts w:ascii="Courier New" w:hAnsi="Courier New" w:cs="Courier New" w:hint="default"/>
      </w:rPr>
    </w:lvl>
    <w:lvl w:ilvl="8">
      <w:start w:val="1"/>
      <w:numFmt w:val="bullet"/>
      <w:lvlText w:val=""/>
      <w:lvlJc w:val="left"/>
      <w:pPr>
        <w:tabs>
          <w:tab w:val="num" w:pos="6477"/>
        </w:tabs>
        <w:ind w:left="6477" w:hanging="360"/>
      </w:pPr>
      <w:rPr>
        <w:rFonts w:ascii="Wingdings" w:hAnsi="Wingdings" w:cs="Wingdings" w:hint="default"/>
      </w:rPr>
    </w:lvl>
  </w:abstractNum>
  <w:abstractNum w:abstractNumId="4" w15:restartNumberingAfterBreak="0">
    <w:nsid w:val="57B032BB"/>
    <w:multiLevelType w:val="multilevel"/>
    <w:tmpl w:val="88DE16C6"/>
    <w:lvl w:ilvl="0">
      <w:start w:val="1"/>
      <w:numFmt w:val="bullet"/>
      <w:pStyle w:val="LISTdash"/>
      <w:lvlText w:val=""/>
      <w:lvlJc w:val="left"/>
      <w:pPr>
        <w:tabs>
          <w:tab w:val="num" w:pos="564"/>
        </w:tabs>
        <w:ind w:left="454" w:hanging="250"/>
      </w:pPr>
      <w:rPr>
        <w:rFonts w:ascii="Symbol" w:hAnsi="Symbol" w:hint="default"/>
        <w:b/>
        <w:i w:val="0"/>
        <w:caps w:val="0"/>
        <w:strike w:val="0"/>
        <w:dstrike w:val="0"/>
        <w:color w:val="000000"/>
        <w:spacing w:val="0"/>
        <w:kern w:val="28"/>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14"/>
        </w:tabs>
        <w:ind w:left="794" w:hanging="340"/>
      </w:pPr>
      <w:rPr>
        <w:rFonts w:ascii="Symbol" w:hAnsi="Symbol" w:hint="default"/>
        <w:b w:val="0"/>
        <w:i w:val="0"/>
        <w:sz w:val="20"/>
      </w:rPr>
    </w:lvl>
    <w:lvl w:ilvl="2">
      <w:start w:val="1"/>
      <w:numFmt w:val="bullet"/>
      <w:lvlText w:val=""/>
      <w:lvlJc w:val="left"/>
      <w:pPr>
        <w:tabs>
          <w:tab w:val="num" w:pos="927"/>
        </w:tabs>
        <w:ind w:left="204" w:firstLine="363"/>
      </w:pPr>
      <w:rPr>
        <w:rFonts w:ascii="Symbol" w:hAnsi="Symbol" w:hint="default"/>
        <w:b w:val="0"/>
        <w:i/>
        <w:sz w:val="24"/>
      </w:rPr>
    </w:lvl>
    <w:lvl w:ilvl="3">
      <w:start w:val="1"/>
      <w:numFmt w:val="decimal"/>
      <w:suff w:val="space"/>
      <w:lvlText w:val="%1.%2.%3.%4."/>
      <w:lvlJc w:val="left"/>
      <w:pPr>
        <w:ind w:left="204" w:firstLine="0"/>
      </w:pPr>
      <w:rPr>
        <w:rFonts w:ascii="Times" w:hAnsi="Times" w:hint="default"/>
        <w:b w:val="0"/>
        <w:i/>
        <w:sz w:val="24"/>
      </w:rPr>
    </w:lvl>
    <w:lvl w:ilvl="4">
      <w:start w:val="1"/>
      <w:numFmt w:val="none"/>
      <w:suff w:val="nothing"/>
      <w:lvlText w:val=""/>
      <w:lvlJc w:val="left"/>
      <w:pPr>
        <w:ind w:left="204" w:firstLine="0"/>
      </w:pPr>
      <w:rPr>
        <w:rFonts w:hint="default"/>
      </w:rPr>
    </w:lvl>
    <w:lvl w:ilvl="5">
      <w:start w:val="1"/>
      <w:numFmt w:val="none"/>
      <w:suff w:val="nothing"/>
      <w:lvlText w:val=""/>
      <w:lvlJc w:val="left"/>
      <w:pPr>
        <w:ind w:left="1054" w:firstLine="0"/>
      </w:pPr>
      <w:rPr>
        <w:rFonts w:hint="default"/>
      </w:rPr>
    </w:lvl>
    <w:lvl w:ilvl="6">
      <w:start w:val="1"/>
      <w:numFmt w:val="none"/>
      <w:suff w:val="nothing"/>
      <w:lvlText w:val=""/>
      <w:lvlJc w:val="left"/>
      <w:pPr>
        <w:ind w:left="714" w:firstLine="0"/>
      </w:pPr>
      <w:rPr>
        <w:rFonts w:hint="default"/>
      </w:rPr>
    </w:lvl>
    <w:lvl w:ilvl="7">
      <w:start w:val="1"/>
      <w:numFmt w:val="none"/>
      <w:suff w:val="nothing"/>
      <w:lvlText w:val=""/>
      <w:lvlJc w:val="left"/>
      <w:pPr>
        <w:ind w:left="714" w:firstLine="0"/>
      </w:pPr>
      <w:rPr>
        <w:rFonts w:hint="default"/>
      </w:rPr>
    </w:lvl>
    <w:lvl w:ilvl="8">
      <w:start w:val="1"/>
      <w:numFmt w:val="none"/>
      <w:suff w:val="nothing"/>
      <w:lvlText w:val=""/>
      <w:lvlJc w:val="left"/>
      <w:pPr>
        <w:ind w:left="714" w:firstLine="0"/>
      </w:pPr>
      <w:rPr>
        <w:rFonts w:hint="default"/>
      </w:rPr>
    </w:lvl>
  </w:abstractNum>
  <w:abstractNum w:abstractNumId="5" w15:restartNumberingAfterBreak="0">
    <w:nsid w:val="581D0CC1"/>
    <w:multiLevelType w:val="multilevel"/>
    <w:tmpl w:val="47DE6CBE"/>
    <w:lvl w:ilvl="0">
      <w:start w:val="1"/>
      <w:numFmt w:val="decimal"/>
      <w:lvlText w:val="[%1]"/>
      <w:lvlJc w:val="left"/>
      <w:pPr>
        <w:tabs>
          <w:tab w:val="num" w:pos="360"/>
        </w:tabs>
        <w:ind w:left="312" w:hanging="312"/>
      </w:pPr>
      <w:rPr>
        <w:rFonts w:hint="default"/>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61426C2F"/>
    <w:multiLevelType w:val="hybridMultilevel"/>
    <w:tmpl w:val="2EB08300"/>
    <w:lvl w:ilvl="0" w:tplc="2D9ABB34">
      <w:start w:val="1"/>
      <w:numFmt w:val="lowerLetter"/>
      <w:pStyle w:val="LISTalph"/>
      <w:lvlText w:val="%1)"/>
      <w:lvlJc w:val="left"/>
      <w:pPr>
        <w:tabs>
          <w:tab w:val="num" w:pos="564"/>
        </w:tabs>
        <w:ind w:left="499" w:hanging="295"/>
      </w:pPr>
      <w:rPr>
        <w:rFonts w:hint="default"/>
      </w:rPr>
    </w:lvl>
    <w:lvl w:ilvl="1" w:tplc="04090019">
      <w:start w:val="1"/>
      <w:numFmt w:val="lowerLetter"/>
      <w:lvlText w:val="%2."/>
      <w:lvlJc w:val="left"/>
      <w:pPr>
        <w:tabs>
          <w:tab w:val="num" w:pos="1284"/>
        </w:tabs>
        <w:ind w:left="1284" w:hanging="360"/>
      </w:pPr>
    </w:lvl>
    <w:lvl w:ilvl="2" w:tplc="0409001B" w:tentative="1">
      <w:start w:val="1"/>
      <w:numFmt w:val="lowerRoman"/>
      <w:lvlText w:val="%3."/>
      <w:lvlJc w:val="right"/>
      <w:pPr>
        <w:tabs>
          <w:tab w:val="num" w:pos="2004"/>
        </w:tabs>
        <w:ind w:left="2004" w:hanging="180"/>
      </w:pPr>
    </w:lvl>
    <w:lvl w:ilvl="3" w:tplc="0409000F" w:tentative="1">
      <w:start w:val="1"/>
      <w:numFmt w:val="decimal"/>
      <w:lvlText w:val="%4."/>
      <w:lvlJc w:val="left"/>
      <w:pPr>
        <w:tabs>
          <w:tab w:val="num" w:pos="2724"/>
        </w:tabs>
        <w:ind w:left="2724" w:hanging="360"/>
      </w:pPr>
    </w:lvl>
    <w:lvl w:ilvl="4" w:tplc="04090019" w:tentative="1">
      <w:start w:val="1"/>
      <w:numFmt w:val="lowerLetter"/>
      <w:lvlText w:val="%5."/>
      <w:lvlJc w:val="left"/>
      <w:pPr>
        <w:tabs>
          <w:tab w:val="num" w:pos="3444"/>
        </w:tabs>
        <w:ind w:left="3444" w:hanging="360"/>
      </w:pPr>
    </w:lvl>
    <w:lvl w:ilvl="5" w:tplc="0409001B" w:tentative="1">
      <w:start w:val="1"/>
      <w:numFmt w:val="lowerRoman"/>
      <w:lvlText w:val="%6."/>
      <w:lvlJc w:val="right"/>
      <w:pPr>
        <w:tabs>
          <w:tab w:val="num" w:pos="4164"/>
        </w:tabs>
        <w:ind w:left="4164" w:hanging="180"/>
      </w:pPr>
    </w:lvl>
    <w:lvl w:ilvl="6" w:tplc="0409000F" w:tentative="1">
      <w:start w:val="1"/>
      <w:numFmt w:val="decimal"/>
      <w:lvlText w:val="%7."/>
      <w:lvlJc w:val="left"/>
      <w:pPr>
        <w:tabs>
          <w:tab w:val="num" w:pos="4884"/>
        </w:tabs>
        <w:ind w:left="4884" w:hanging="360"/>
      </w:pPr>
    </w:lvl>
    <w:lvl w:ilvl="7" w:tplc="04090019" w:tentative="1">
      <w:start w:val="1"/>
      <w:numFmt w:val="lowerLetter"/>
      <w:lvlText w:val="%8."/>
      <w:lvlJc w:val="left"/>
      <w:pPr>
        <w:tabs>
          <w:tab w:val="num" w:pos="5604"/>
        </w:tabs>
        <w:ind w:left="5604" w:hanging="360"/>
      </w:pPr>
    </w:lvl>
    <w:lvl w:ilvl="8" w:tplc="0409001B" w:tentative="1">
      <w:start w:val="1"/>
      <w:numFmt w:val="lowerRoman"/>
      <w:lvlText w:val="%9."/>
      <w:lvlJc w:val="right"/>
      <w:pPr>
        <w:tabs>
          <w:tab w:val="num" w:pos="6324"/>
        </w:tabs>
        <w:ind w:left="6324" w:hanging="180"/>
      </w:pPr>
    </w:lvl>
  </w:abstractNum>
  <w:abstractNum w:abstractNumId="7" w15:restartNumberingAfterBreak="0">
    <w:nsid w:val="63CA79E0"/>
    <w:multiLevelType w:val="multilevel"/>
    <w:tmpl w:val="F370C5B4"/>
    <w:lvl w:ilvl="0">
      <w:start w:val="1"/>
      <w:numFmt w:val="decimal"/>
      <w:pStyle w:val="LISTnum"/>
      <w:lvlText w:val="%1."/>
      <w:lvlJc w:val="left"/>
      <w:pPr>
        <w:tabs>
          <w:tab w:val="num" w:pos="717"/>
        </w:tabs>
        <w:ind w:left="652" w:hanging="295"/>
      </w:pPr>
      <w:rPr>
        <w:rFonts w:hint="default"/>
      </w:rPr>
    </w:lvl>
    <w:lvl w:ilvl="1">
      <w:start w:val="1"/>
      <w:numFmt w:val="decimal"/>
      <w:lvlText w:val="%1.%2."/>
      <w:lvlJc w:val="left"/>
      <w:pPr>
        <w:tabs>
          <w:tab w:val="num" w:pos="1077"/>
        </w:tabs>
        <w:ind w:left="1077" w:hanging="363"/>
      </w:pPr>
      <w:rPr>
        <w:rFonts w:hint="default"/>
      </w:rPr>
    </w:lvl>
    <w:lvl w:ilvl="2">
      <w:start w:val="1"/>
      <w:numFmt w:val="decimal"/>
      <w:lvlText w:val="%1.%2.%3."/>
      <w:lvlJc w:val="left"/>
      <w:pPr>
        <w:tabs>
          <w:tab w:val="num" w:pos="1797"/>
        </w:tabs>
        <w:ind w:left="1581" w:hanging="504"/>
      </w:pPr>
      <w:rPr>
        <w:rFonts w:hint="default"/>
      </w:rPr>
    </w:lvl>
    <w:lvl w:ilvl="3">
      <w:start w:val="1"/>
      <w:numFmt w:val="decimal"/>
      <w:lvlText w:val="%1.%2.%3.%4."/>
      <w:lvlJc w:val="left"/>
      <w:pPr>
        <w:tabs>
          <w:tab w:val="num" w:pos="2157"/>
        </w:tabs>
        <w:ind w:left="2085" w:hanging="648"/>
      </w:pPr>
      <w:rPr>
        <w:rFonts w:hint="default"/>
      </w:rPr>
    </w:lvl>
    <w:lvl w:ilvl="4">
      <w:start w:val="1"/>
      <w:numFmt w:val="decimal"/>
      <w:lvlText w:val="%1.%2.%3.%4.%5."/>
      <w:lvlJc w:val="left"/>
      <w:pPr>
        <w:tabs>
          <w:tab w:val="num" w:pos="2877"/>
        </w:tabs>
        <w:ind w:left="2589" w:hanging="792"/>
      </w:pPr>
      <w:rPr>
        <w:rFonts w:hint="default"/>
      </w:rPr>
    </w:lvl>
    <w:lvl w:ilvl="5">
      <w:start w:val="1"/>
      <w:numFmt w:val="decimal"/>
      <w:lvlText w:val="%1.%2.%3.%4.%5.%6."/>
      <w:lvlJc w:val="left"/>
      <w:pPr>
        <w:tabs>
          <w:tab w:val="num" w:pos="3237"/>
        </w:tabs>
        <w:ind w:left="3093" w:hanging="936"/>
      </w:pPr>
      <w:rPr>
        <w:rFonts w:hint="default"/>
      </w:rPr>
    </w:lvl>
    <w:lvl w:ilvl="6">
      <w:start w:val="1"/>
      <w:numFmt w:val="decimal"/>
      <w:lvlText w:val="%1.%2.%3.%4.%5.%6.%7."/>
      <w:lvlJc w:val="left"/>
      <w:pPr>
        <w:tabs>
          <w:tab w:val="num" w:pos="3957"/>
        </w:tabs>
        <w:ind w:left="3597" w:hanging="1080"/>
      </w:pPr>
      <w:rPr>
        <w:rFonts w:hint="default"/>
      </w:rPr>
    </w:lvl>
    <w:lvl w:ilvl="7">
      <w:start w:val="1"/>
      <w:numFmt w:val="decimal"/>
      <w:lvlText w:val="%1.%2.%3.%4.%5.%6.%7.%8."/>
      <w:lvlJc w:val="left"/>
      <w:pPr>
        <w:tabs>
          <w:tab w:val="num" w:pos="4317"/>
        </w:tabs>
        <w:ind w:left="4101" w:hanging="1224"/>
      </w:pPr>
      <w:rPr>
        <w:rFonts w:hint="default"/>
      </w:rPr>
    </w:lvl>
    <w:lvl w:ilvl="8">
      <w:start w:val="1"/>
      <w:numFmt w:val="decimal"/>
      <w:lvlText w:val="%1.%2.%3.%4.%5.%6.%7.%8.%9."/>
      <w:lvlJc w:val="left"/>
      <w:pPr>
        <w:tabs>
          <w:tab w:val="num" w:pos="5037"/>
        </w:tabs>
        <w:ind w:left="4677" w:hanging="1440"/>
      </w:pPr>
      <w:rPr>
        <w:rFonts w:hint="default"/>
      </w:rPr>
    </w:lvl>
  </w:abstractNum>
  <w:abstractNum w:abstractNumId="8" w15:restartNumberingAfterBreak="0">
    <w:nsid w:val="749D7927"/>
    <w:multiLevelType w:val="multilevel"/>
    <w:tmpl w:val="1F9C18A8"/>
    <w:lvl w:ilvl="0">
      <w:start w:val="1"/>
      <w:numFmt w:val="decimal"/>
      <w:pStyle w:val="1"/>
      <w:suff w:val="space"/>
      <w:lvlText w:val="%1."/>
      <w:lvlJc w:val="left"/>
      <w:pPr>
        <w:ind w:left="454" w:hanging="454"/>
      </w:pPr>
      <w:rPr>
        <w:rFonts w:ascii="Times New Roman" w:hAnsi="Times New Roman" w:hint="default"/>
        <w:b/>
        <w:i w:val="0"/>
        <w:caps w:val="0"/>
        <w:strike w:val="0"/>
        <w:dstrike w:val="0"/>
        <w:color w:val="000000"/>
        <w:spacing w:val="0"/>
        <w:kern w:val="28"/>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space"/>
      <w:lvlText w:val="%1.%2."/>
      <w:lvlJc w:val="left"/>
      <w:pPr>
        <w:ind w:left="0" w:firstLine="0"/>
      </w:pPr>
      <w:rPr>
        <w:rFonts w:ascii="Times New Roman" w:hAnsi="Times New Roman" w:hint="default"/>
        <w:b w:val="0"/>
        <w:i/>
        <w:sz w:val="20"/>
      </w:rPr>
    </w:lvl>
    <w:lvl w:ilvl="2">
      <w:start w:val="1"/>
      <w:numFmt w:val="decimal"/>
      <w:pStyle w:val="3"/>
      <w:suff w:val="space"/>
      <w:lvlText w:val="%1.%2.%3."/>
      <w:lvlJc w:val="left"/>
      <w:pPr>
        <w:ind w:left="0" w:firstLine="0"/>
      </w:pPr>
      <w:rPr>
        <w:rFonts w:ascii="Times" w:hAnsi="Times" w:hint="default"/>
        <w:b w:val="0"/>
        <w:i/>
        <w:sz w:val="20"/>
      </w:rPr>
    </w:lvl>
    <w:lvl w:ilvl="3">
      <w:start w:val="1"/>
      <w:numFmt w:val="decimal"/>
      <w:pStyle w:val="4"/>
      <w:suff w:val="space"/>
      <w:lvlText w:val="%1.%2.%3.%4."/>
      <w:lvlJc w:val="left"/>
      <w:pPr>
        <w:ind w:left="0" w:firstLine="0"/>
      </w:pPr>
      <w:rPr>
        <w:rFonts w:ascii="Times" w:hAnsi="Times" w:hint="default"/>
        <w:b w:val="0"/>
        <w:i/>
        <w:sz w:val="20"/>
      </w:rPr>
    </w:lvl>
    <w:lvl w:ilvl="4">
      <w:start w:val="1"/>
      <w:numFmt w:val="none"/>
      <w:pStyle w:val="5"/>
      <w:suff w:val="nothing"/>
      <w:lvlText w:val=""/>
      <w:lvlJc w:val="left"/>
      <w:pPr>
        <w:ind w:left="0" w:firstLine="0"/>
      </w:pPr>
      <w:rPr>
        <w:rFonts w:hint="default"/>
      </w:rPr>
    </w:lvl>
    <w:lvl w:ilvl="5">
      <w:start w:val="1"/>
      <w:numFmt w:val="none"/>
      <w:pStyle w:val="6"/>
      <w:suff w:val="nothing"/>
      <w:lvlText w:val=""/>
      <w:lvlJc w:val="left"/>
      <w:pPr>
        <w:ind w:left="850" w:firstLine="0"/>
      </w:pPr>
      <w:rPr>
        <w:rFonts w:hint="default"/>
      </w:rPr>
    </w:lvl>
    <w:lvl w:ilvl="6">
      <w:start w:val="1"/>
      <w:numFmt w:val="none"/>
      <w:suff w:val="nothing"/>
      <w:lvlText w:val=""/>
      <w:lvlJc w:val="left"/>
      <w:pPr>
        <w:ind w:left="510" w:firstLine="0"/>
      </w:pPr>
      <w:rPr>
        <w:rFonts w:hint="default"/>
      </w:rPr>
    </w:lvl>
    <w:lvl w:ilvl="7">
      <w:start w:val="1"/>
      <w:numFmt w:val="none"/>
      <w:suff w:val="nothing"/>
      <w:lvlText w:val=""/>
      <w:lvlJc w:val="left"/>
      <w:pPr>
        <w:ind w:left="510" w:firstLine="0"/>
      </w:pPr>
      <w:rPr>
        <w:rFonts w:hint="default"/>
      </w:rPr>
    </w:lvl>
    <w:lvl w:ilvl="8">
      <w:start w:val="1"/>
      <w:numFmt w:val="none"/>
      <w:suff w:val="nothing"/>
      <w:lvlText w:val=""/>
      <w:lvlJc w:val="left"/>
      <w:pPr>
        <w:ind w:left="510" w:firstLine="0"/>
      </w:pPr>
      <w:rPr>
        <w:rFonts w:hint="default"/>
      </w:rPr>
    </w:lvl>
  </w:abstractNum>
  <w:abstractNum w:abstractNumId="9" w15:restartNumberingAfterBreak="0">
    <w:nsid w:val="76F27992"/>
    <w:multiLevelType w:val="hybridMultilevel"/>
    <w:tmpl w:val="8E28FDE8"/>
    <w:lvl w:ilvl="0" w:tplc="7B981C04">
      <w:start w:val="1"/>
      <w:numFmt w:val="decimal"/>
      <w:pStyle w:val="References"/>
      <w:lvlText w:val="[%1]"/>
      <w:lvlJc w:val="left"/>
      <w:pPr>
        <w:tabs>
          <w:tab w:val="num" w:pos="255"/>
        </w:tabs>
        <w:ind w:left="369" w:hanging="369"/>
      </w:pPr>
      <w:rPr>
        <w:rFonts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90036540">
    <w:abstractNumId w:val="6"/>
  </w:num>
  <w:num w:numId="2" w16cid:durableId="1032682526">
    <w:abstractNumId w:val="4"/>
  </w:num>
  <w:num w:numId="3" w16cid:durableId="1429425395">
    <w:abstractNumId w:val="0"/>
  </w:num>
  <w:num w:numId="4" w16cid:durableId="738945543">
    <w:abstractNumId w:val="8"/>
  </w:num>
  <w:num w:numId="5" w16cid:durableId="1866212800">
    <w:abstractNumId w:val="3"/>
  </w:num>
  <w:num w:numId="6" w16cid:durableId="1041437706">
    <w:abstractNumId w:val="7"/>
  </w:num>
  <w:num w:numId="7" w16cid:durableId="1559440359">
    <w:abstractNumId w:val="9"/>
  </w:num>
  <w:num w:numId="8" w16cid:durableId="1167670005">
    <w:abstractNumId w:val="5"/>
  </w:num>
  <w:num w:numId="9" w16cid:durableId="809790601">
    <w:abstractNumId w:val="9"/>
  </w:num>
  <w:num w:numId="10" w16cid:durableId="1024789811">
    <w:abstractNumId w:val="1"/>
  </w:num>
  <w:num w:numId="11" w16cid:durableId="1307279076">
    <w:abstractNumId w:val="9"/>
    <w:lvlOverride w:ilvl="0">
      <w:startOverride w:val="1"/>
    </w:lvlOverride>
  </w:num>
  <w:num w:numId="12" w16cid:durableId="2113477663">
    <w:abstractNumId w:val="3"/>
  </w:num>
  <w:num w:numId="13" w16cid:durableId="442500525">
    <w:abstractNumId w:val="3"/>
  </w:num>
  <w:num w:numId="14" w16cid:durableId="870923303">
    <w:abstractNumId w:val="2"/>
  </w:num>
  <w:num w:numId="15" w16cid:durableId="603654102">
    <w:abstractNumId w:val="3"/>
  </w:num>
  <w:num w:numId="16" w16cid:durableId="17696222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attachedTemplate r:id="rId1"/>
  <w:defaultTabStop w:val="720"/>
  <w:hyphenationZone w:val="425"/>
  <w:noPunctuationKerning/>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23E"/>
    <w:rsid w:val="0002011C"/>
    <w:rsid w:val="000226F0"/>
    <w:rsid w:val="0003609E"/>
    <w:rsid w:val="00044F64"/>
    <w:rsid w:val="00047069"/>
    <w:rsid w:val="00052353"/>
    <w:rsid w:val="00081161"/>
    <w:rsid w:val="000837D1"/>
    <w:rsid w:val="000846FE"/>
    <w:rsid w:val="000848B7"/>
    <w:rsid w:val="000B175D"/>
    <w:rsid w:val="000B35B2"/>
    <w:rsid w:val="000B5EE6"/>
    <w:rsid w:val="000B796B"/>
    <w:rsid w:val="000C06B0"/>
    <w:rsid w:val="000C3363"/>
    <w:rsid w:val="000D2A4A"/>
    <w:rsid w:val="000D5675"/>
    <w:rsid w:val="000E5D2E"/>
    <w:rsid w:val="000F171D"/>
    <w:rsid w:val="00101C66"/>
    <w:rsid w:val="00102DCA"/>
    <w:rsid w:val="001033D9"/>
    <w:rsid w:val="00106AAE"/>
    <w:rsid w:val="00110ECB"/>
    <w:rsid w:val="00112583"/>
    <w:rsid w:val="00112A43"/>
    <w:rsid w:val="00122934"/>
    <w:rsid w:val="00123098"/>
    <w:rsid w:val="00124989"/>
    <w:rsid w:val="00145B74"/>
    <w:rsid w:val="001477C1"/>
    <w:rsid w:val="00150109"/>
    <w:rsid w:val="001535BF"/>
    <w:rsid w:val="001557B6"/>
    <w:rsid w:val="0016185A"/>
    <w:rsid w:val="001623AC"/>
    <w:rsid w:val="001653AD"/>
    <w:rsid w:val="00175757"/>
    <w:rsid w:val="00182287"/>
    <w:rsid w:val="00190CC7"/>
    <w:rsid w:val="00195490"/>
    <w:rsid w:val="00197BAC"/>
    <w:rsid w:val="001A08B7"/>
    <w:rsid w:val="001A2C81"/>
    <w:rsid w:val="001A318F"/>
    <w:rsid w:val="001B3C14"/>
    <w:rsid w:val="001B5157"/>
    <w:rsid w:val="001C04C6"/>
    <w:rsid w:val="001E229E"/>
    <w:rsid w:val="001E6116"/>
    <w:rsid w:val="00205144"/>
    <w:rsid w:val="002131C8"/>
    <w:rsid w:val="00223D25"/>
    <w:rsid w:val="00225388"/>
    <w:rsid w:val="00230EFE"/>
    <w:rsid w:val="002338EF"/>
    <w:rsid w:val="00233DD2"/>
    <w:rsid w:val="00240A3D"/>
    <w:rsid w:val="00241433"/>
    <w:rsid w:val="00257323"/>
    <w:rsid w:val="00262DED"/>
    <w:rsid w:val="0027113A"/>
    <w:rsid w:val="00271F03"/>
    <w:rsid w:val="0028323B"/>
    <w:rsid w:val="00285C00"/>
    <w:rsid w:val="002927CC"/>
    <w:rsid w:val="00293E89"/>
    <w:rsid w:val="00295E3D"/>
    <w:rsid w:val="002A596A"/>
    <w:rsid w:val="002B33DE"/>
    <w:rsid w:val="002C3FDC"/>
    <w:rsid w:val="002C4802"/>
    <w:rsid w:val="002D19A5"/>
    <w:rsid w:val="002D45FA"/>
    <w:rsid w:val="002E65E4"/>
    <w:rsid w:val="002E7B6C"/>
    <w:rsid w:val="002F3890"/>
    <w:rsid w:val="002F53C7"/>
    <w:rsid w:val="002F7C4B"/>
    <w:rsid w:val="00326A00"/>
    <w:rsid w:val="00334D08"/>
    <w:rsid w:val="00351971"/>
    <w:rsid w:val="00351C6A"/>
    <w:rsid w:val="00381737"/>
    <w:rsid w:val="00381A50"/>
    <w:rsid w:val="0038421B"/>
    <w:rsid w:val="00390008"/>
    <w:rsid w:val="00397808"/>
    <w:rsid w:val="0039784E"/>
    <w:rsid w:val="003A4BAC"/>
    <w:rsid w:val="003A71A1"/>
    <w:rsid w:val="003A72FD"/>
    <w:rsid w:val="003B6587"/>
    <w:rsid w:val="003B682F"/>
    <w:rsid w:val="003B7090"/>
    <w:rsid w:val="003B7407"/>
    <w:rsid w:val="003C106E"/>
    <w:rsid w:val="003C203C"/>
    <w:rsid w:val="003C61E9"/>
    <w:rsid w:val="003D4BB1"/>
    <w:rsid w:val="003D5BB7"/>
    <w:rsid w:val="003D6442"/>
    <w:rsid w:val="003D6B33"/>
    <w:rsid w:val="003E49CA"/>
    <w:rsid w:val="003E7FB1"/>
    <w:rsid w:val="003F027C"/>
    <w:rsid w:val="003F6EDF"/>
    <w:rsid w:val="00400AD5"/>
    <w:rsid w:val="0041184A"/>
    <w:rsid w:val="004122C5"/>
    <w:rsid w:val="004175C0"/>
    <w:rsid w:val="00421673"/>
    <w:rsid w:val="004326FF"/>
    <w:rsid w:val="00440427"/>
    <w:rsid w:val="004409AC"/>
    <w:rsid w:val="0045254C"/>
    <w:rsid w:val="00453B21"/>
    <w:rsid w:val="00474AC6"/>
    <w:rsid w:val="004753AF"/>
    <w:rsid w:val="0048701D"/>
    <w:rsid w:val="00490AEE"/>
    <w:rsid w:val="004B31DA"/>
    <w:rsid w:val="004B43F7"/>
    <w:rsid w:val="004C5D20"/>
    <w:rsid w:val="004C7ACD"/>
    <w:rsid w:val="004D062E"/>
    <w:rsid w:val="004D1E32"/>
    <w:rsid w:val="004D2899"/>
    <w:rsid w:val="004D3880"/>
    <w:rsid w:val="004D42F7"/>
    <w:rsid w:val="004D5CB2"/>
    <w:rsid w:val="004D7B5A"/>
    <w:rsid w:val="004E2B67"/>
    <w:rsid w:val="004E4D0E"/>
    <w:rsid w:val="0051179F"/>
    <w:rsid w:val="00531B9A"/>
    <w:rsid w:val="00533EC2"/>
    <w:rsid w:val="005377C7"/>
    <w:rsid w:val="0054291F"/>
    <w:rsid w:val="0054490A"/>
    <w:rsid w:val="00544E80"/>
    <w:rsid w:val="00555EEA"/>
    <w:rsid w:val="00556E66"/>
    <w:rsid w:val="00566A95"/>
    <w:rsid w:val="00582CFC"/>
    <w:rsid w:val="00583D8B"/>
    <w:rsid w:val="00585C25"/>
    <w:rsid w:val="0059606B"/>
    <w:rsid w:val="00597414"/>
    <w:rsid w:val="005A0D8B"/>
    <w:rsid w:val="005A7403"/>
    <w:rsid w:val="005B28FF"/>
    <w:rsid w:val="005B4767"/>
    <w:rsid w:val="005B49A1"/>
    <w:rsid w:val="005B523E"/>
    <w:rsid w:val="005B7B2D"/>
    <w:rsid w:val="005C0A84"/>
    <w:rsid w:val="005C0CC3"/>
    <w:rsid w:val="005C47E7"/>
    <w:rsid w:val="005C4846"/>
    <w:rsid w:val="005C7F2C"/>
    <w:rsid w:val="005D4D9D"/>
    <w:rsid w:val="005E3E02"/>
    <w:rsid w:val="005F249E"/>
    <w:rsid w:val="006003CB"/>
    <w:rsid w:val="006045DE"/>
    <w:rsid w:val="00605B63"/>
    <w:rsid w:val="00606092"/>
    <w:rsid w:val="006161C2"/>
    <w:rsid w:val="00631672"/>
    <w:rsid w:val="006318EC"/>
    <w:rsid w:val="00651AA4"/>
    <w:rsid w:val="0065274A"/>
    <w:rsid w:val="00653D6B"/>
    <w:rsid w:val="00653F73"/>
    <w:rsid w:val="0065436E"/>
    <w:rsid w:val="00655499"/>
    <w:rsid w:val="00662D8A"/>
    <w:rsid w:val="006702BA"/>
    <w:rsid w:val="0067351B"/>
    <w:rsid w:val="006766D4"/>
    <w:rsid w:val="00681C41"/>
    <w:rsid w:val="00686599"/>
    <w:rsid w:val="00692A13"/>
    <w:rsid w:val="00696581"/>
    <w:rsid w:val="006A31DD"/>
    <w:rsid w:val="006A4851"/>
    <w:rsid w:val="006A67CC"/>
    <w:rsid w:val="006B4DA0"/>
    <w:rsid w:val="006B64E8"/>
    <w:rsid w:val="006C09BA"/>
    <w:rsid w:val="006C408B"/>
    <w:rsid w:val="006C764E"/>
    <w:rsid w:val="006D2580"/>
    <w:rsid w:val="006D7821"/>
    <w:rsid w:val="006E0AC3"/>
    <w:rsid w:val="006F0741"/>
    <w:rsid w:val="0070105F"/>
    <w:rsid w:val="007034AE"/>
    <w:rsid w:val="0070383F"/>
    <w:rsid w:val="00705F48"/>
    <w:rsid w:val="007073B7"/>
    <w:rsid w:val="00714493"/>
    <w:rsid w:val="007373A8"/>
    <w:rsid w:val="00752D3F"/>
    <w:rsid w:val="0076174B"/>
    <w:rsid w:val="00770F5F"/>
    <w:rsid w:val="007748AC"/>
    <w:rsid w:val="00775626"/>
    <w:rsid w:val="007805EE"/>
    <w:rsid w:val="00781DFF"/>
    <w:rsid w:val="00791773"/>
    <w:rsid w:val="007920E6"/>
    <w:rsid w:val="00793A8F"/>
    <w:rsid w:val="007A081B"/>
    <w:rsid w:val="007A1200"/>
    <w:rsid w:val="007A4961"/>
    <w:rsid w:val="007A498F"/>
    <w:rsid w:val="007C3EB2"/>
    <w:rsid w:val="007C5A34"/>
    <w:rsid w:val="007D4D8F"/>
    <w:rsid w:val="007D76E6"/>
    <w:rsid w:val="007E27F1"/>
    <w:rsid w:val="007E717F"/>
    <w:rsid w:val="007F08E0"/>
    <w:rsid w:val="007F61D3"/>
    <w:rsid w:val="00800951"/>
    <w:rsid w:val="0080408B"/>
    <w:rsid w:val="00811F0E"/>
    <w:rsid w:val="008234E5"/>
    <w:rsid w:val="00835493"/>
    <w:rsid w:val="00854BFB"/>
    <w:rsid w:val="00855189"/>
    <w:rsid w:val="0085574F"/>
    <w:rsid w:val="0086305C"/>
    <w:rsid w:val="008631A2"/>
    <w:rsid w:val="008665F5"/>
    <w:rsid w:val="008728A2"/>
    <w:rsid w:val="00872BC5"/>
    <w:rsid w:val="00876F19"/>
    <w:rsid w:val="00884667"/>
    <w:rsid w:val="00884ECA"/>
    <w:rsid w:val="00890CF7"/>
    <w:rsid w:val="00890D59"/>
    <w:rsid w:val="008947DE"/>
    <w:rsid w:val="00894B6B"/>
    <w:rsid w:val="00897DEE"/>
    <w:rsid w:val="008A47A1"/>
    <w:rsid w:val="008A5BAD"/>
    <w:rsid w:val="008B5E6D"/>
    <w:rsid w:val="008D03EA"/>
    <w:rsid w:val="008D0E04"/>
    <w:rsid w:val="008E7458"/>
    <w:rsid w:val="008F2020"/>
    <w:rsid w:val="009069DB"/>
    <w:rsid w:val="009129EB"/>
    <w:rsid w:val="00922C18"/>
    <w:rsid w:val="0092431B"/>
    <w:rsid w:val="009246C7"/>
    <w:rsid w:val="009318B8"/>
    <w:rsid w:val="009340A2"/>
    <w:rsid w:val="009348C1"/>
    <w:rsid w:val="00936B08"/>
    <w:rsid w:val="0093735D"/>
    <w:rsid w:val="009409A7"/>
    <w:rsid w:val="0094601D"/>
    <w:rsid w:val="00950209"/>
    <w:rsid w:val="00962734"/>
    <w:rsid w:val="00964BB6"/>
    <w:rsid w:val="0097212B"/>
    <w:rsid w:val="009752D1"/>
    <w:rsid w:val="00976AE9"/>
    <w:rsid w:val="00986799"/>
    <w:rsid w:val="00990B10"/>
    <w:rsid w:val="00991E39"/>
    <w:rsid w:val="009A27E1"/>
    <w:rsid w:val="009A3866"/>
    <w:rsid w:val="009A6C17"/>
    <w:rsid w:val="009B1D43"/>
    <w:rsid w:val="009C3EB5"/>
    <w:rsid w:val="009C67A9"/>
    <w:rsid w:val="009D2542"/>
    <w:rsid w:val="009D275D"/>
    <w:rsid w:val="009D3D8B"/>
    <w:rsid w:val="009D52C9"/>
    <w:rsid w:val="009E4000"/>
    <w:rsid w:val="009E463E"/>
    <w:rsid w:val="009E5857"/>
    <w:rsid w:val="00A035F5"/>
    <w:rsid w:val="00A04329"/>
    <w:rsid w:val="00A20991"/>
    <w:rsid w:val="00A209FD"/>
    <w:rsid w:val="00A271D3"/>
    <w:rsid w:val="00A314A4"/>
    <w:rsid w:val="00A37E50"/>
    <w:rsid w:val="00A4241A"/>
    <w:rsid w:val="00A556DD"/>
    <w:rsid w:val="00A62512"/>
    <w:rsid w:val="00A65E4F"/>
    <w:rsid w:val="00A83B0E"/>
    <w:rsid w:val="00A84254"/>
    <w:rsid w:val="00A8580D"/>
    <w:rsid w:val="00A90C88"/>
    <w:rsid w:val="00A9219D"/>
    <w:rsid w:val="00A93EDA"/>
    <w:rsid w:val="00A97754"/>
    <w:rsid w:val="00AA19F9"/>
    <w:rsid w:val="00AA20AE"/>
    <w:rsid w:val="00AA2D26"/>
    <w:rsid w:val="00AB191E"/>
    <w:rsid w:val="00AB7AD1"/>
    <w:rsid w:val="00AC2D17"/>
    <w:rsid w:val="00AC7A5B"/>
    <w:rsid w:val="00AD320E"/>
    <w:rsid w:val="00AD36FA"/>
    <w:rsid w:val="00AD4AA3"/>
    <w:rsid w:val="00AE0F9E"/>
    <w:rsid w:val="00AE1751"/>
    <w:rsid w:val="00AE33DD"/>
    <w:rsid w:val="00AE4313"/>
    <w:rsid w:val="00B0254F"/>
    <w:rsid w:val="00B05D6E"/>
    <w:rsid w:val="00B1751A"/>
    <w:rsid w:val="00B2067A"/>
    <w:rsid w:val="00B301B6"/>
    <w:rsid w:val="00B304A0"/>
    <w:rsid w:val="00B313FD"/>
    <w:rsid w:val="00B3627D"/>
    <w:rsid w:val="00B52834"/>
    <w:rsid w:val="00B575FF"/>
    <w:rsid w:val="00B62F86"/>
    <w:rsid w:val="00B6790F"/>
    <w:rsid w:val="00B734A4"/>
    <w:rsid w:val="00B80AAD"/>
    <w:rsid w:val="00B87B0E"/>
    <w:rsid w:val="00B92C53"/>
    <w:rsid w:val="00B956EC"/>
    <w:rsid w:val="00BA0036"/>
    <w:rsid w:val="00BA0A10"/>
    <w:rsid w:val="00BA0C63"/>
    <w:rsid w:val="00BA2A3E"/>
    <w:rsid w:val="00BA4B80"/>
    <w:rsid w:val="00BA4EB1"/>
    <w:rsid w:val="00BB1F34"/>
    <w:rsid w:val="00BC6221"/>
    <w:rsid w:val="00BD58EF"/>
    <w:rsid w:val="00BD5C08"/>
    <w:rsid w:val="00BD7B03"/>
    <w:rsid w:val="00BE1D72"/>
    <w:rsid w:val="00BE5BB2"/>
    <w:rsid w:val="00BF32A3"/>
    <w:rsid w:val="00BF7384"/>
    <w:rsid w:val="00BF7A4E"/>
    <w:rsid w:val="00C00AA8"/>
    <w:rsid w:val="00C03DA7"/>
    <w:rsid w:val="00C0788A"/>
    <w:rsid w:val="00C11ABF"/>
    <w:rsid w:val="00C136F7"/>
    <w:rsid w:val="00C16D78"/>
    <w:rsid w:val="00C23206"/>
    <w:rsid w:val="00C323E2"/>
    <w:rsid w:val="00C5231F"/>
    <w:rsid w:val="00C54EB9"/>
    <w:rsid w:val="00C61A56"/>
    <w:rsid w:val="00C625D1"/>
    <w:rsid w:val="00C628B6"/>
    <w:rsid w:val="00C70BAF"/>
    <w:rsid w:val="00C801C2"/>
    <w:rsid w:val="00C814B2"/>
    <w:rsid w:val="00C83626"/>
    <w:rsid w:val="00C83D32"/>
    <w:rsid w:val="00C8712A"/>
    <w:rsid w:val="00C92B1F"/>
    <w:rsid w:val="00C96D4C"/>
    <w:rsid w:val="00C97D11"/>
    <w:rsid w:val="00C97F5B"/>
    <w:rsid w:val="00CA1644"/>
    <w:rsid w:val="00CA6C28"/>
    <w:rsid w:val="00CB0DC8"/>
    <w:rsid w:val="00CB2549"/>
    <w:rsid w:val="00CB6178"/>
    <w:rsid w:val="00CD1276"/>
    <w:rsid w:val="00CD7FF4"/>
    <w:rsid w:val="00CE4835"/>
    <w:rsid w:val="00CE4B30"/>
    <w:rsid w:val="00CF5C91"/>
    <w:rsid w:val="00D044B1"/>
    <w:rsid w:val="00D1116D"/>
    <w:rsid w:val="00D15A9F"/>
    <w:rsid w:val="00D22F77"/>
    <w:rsid w:val="00D24F4C"/>
    <w:rsid w:val="00D26CB5"/>
    <w:rsid w:val="00D26E9B"/>
    <w:rsid w:val="00D30409"/>
    <w:rsid w:val="00D413AC"/>
    <w:rsid w:val="00D51C1D"/>
    <w:rsid w:val="00D64AB6"/>
    <w:rsid w:val="00D6646A"/>
    <w:rsid w:val="00D7032E"/>
    <w:rsid w:val="00D7283D"/>
    <w:rsid w:val="00D72AF6"/>
    <w:rsid w:val="00D76215"/>
    <w:rsid w:val="00D817F5"/>
    <w:rsid w:val="00D82BC9"/>
    <w:rsid w:val="00D82EC4"/>
    <w:rsid w:val="00D94C33"/>
    <w:rsid w:val="00D955E4"/>
    <w:rsid w:val="00DA1782"/>
    <w:rsid w:val="00DB7771"/>
    <w:rsid w:val="00DC091F"/>
    <w:rsid w:val="00DC53A8"/>
    <w:rsid w:val="00DC550B"/>
    <w:rsid w:val="00DC7EF5"/>
    <w:rsid w:val="00DD1016"/>
    <w:rsid w:val="00DD1C51"/>
    <w:rsid w:val="00DD7B7A"/>
    <w:rsid w:val="00DE2747"/>
    <w:rsid w:val="00DE3746"/>
    <w:rsid w:val="00DE5784"/>
    <w:rsid w:val="00DE68FF"/>
    <w:rsid w:val="00DF6AB8"/>
    <w:rsid w:val="00E01857"/>
    <w:rsid w:val="00E15F6A"/>
    <w:rsid w:val="00E37376"/>
    <w:rsid w:val="00E41C06"/>
    <w:rsid w:val="00E43602"/>
    <w:rsid w:val="00E45498"/>
    <w:rsid w:val="00E4773C"/>
    <w:rsid w:val="00E47F01"/>
    <w:rsid w:val="00E502D7"/>
    <w:rsid w:val="00E524E0"/>
    <w:rsid w:val="00E63EFC"/>
    <w:rsid w:val="00E74E5D"/>
    <w:rsid w:val="00E76CD1"/>
    <w:rsid w:val="00E80D5F"/>
    <w:rsid w:val="00E81796"/>
    <w:rsid w:val="00E8545C"/>
    <w:rsid w:val="00E8561C"/>
    <w:rsid w:val="00EA32C9"/>
    <w:rsid w:val="00EA5840"/>
    <w:rsid w:val="00EA7D47"/>
    <w:rsid w:val="00EB40CA"/>
    <w:rsid w:val="00EC0AB7"/>
    <w:rsid w:val="00EC1FD2"/>
    <w:rsid w:val="00ED0512"/>
    <w:rsid w:val="00ED0B79"/>
    <w:rsid w:val="00ED1547"/>
    <w:rsid w:val="00ED29DB"/>
    <w:rsid w:val="00EE451C"/>
    <w:rsid w:val="00EF1CB5"/>
    <w:rsid w:val="00EF7919"/>
    <w:rsid w:val="00F05203"/>
    <w:rsid w:val="00F0531F"/>
    <w:rsid w:val="00F07FC3"/>
    <w:rsid w:val="00F242D0"/>
    <w:rsid w:val="00F25EC7"/>
    <w:rsid w:val="00F33807"/>
    <w:rsid w:val="00F40A42"/>
    <w:rsid w:val="00F40E7E"/>
    <w:rsid w:val="00F42E30"/>
    <w:rsid w:val="00F45A9B"/>
    <w:rsid w:val="00F51B76"/>
    <w:rsid w:val="00F5422A"/>
    <w:rsid w:val="00F5687C"/>
    <w:rsid w:val="00F700D9"/>
    <w:rsid w:val="00F70C3B"/>
    <w:rsid w:val="00F71227"/>
    <w:rsid w:val="00F916A5"/>
    <w:rsid w:val="00F9258E"/>
    <w:rsid w:val="00FA5002"/>
    <w:rsid w:val="00FD273F"/>
    <w:rsid w:val="00FE346B"/>
    <w:rsid w:val="00FE7712"/>
    <w:rsid w:val="00FF632B"/>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DC341A2"/>
  <w15:chartTrackingRefBased/>
  <w15:docId w15:val="{735DF26A-3ADD-4E08-9778-F2BB08520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93E89"/>
    <w:pPr>
      <w:ind w:firstLine="357"/>
      <w:jc w:val="both"/>
    </w:pPr>
    <w:rPr>
      <w:szCs w:val="24"/>
      <w:lang w:val="en-US" w:eastAsia="ja-JP"/>
    </w:rPr>
  </w:style>
  <w:style w:type="paragraph" w:styleId="1">
    <w:name w:val="heading 1"/>
    <w:basedOn w:val="a0"/>
    <w:next w:val="NoindentNormal"/>
    <w:qFormat/>
    <w:pPr>
      <w:keepNext/>
      <w:keepLines/>
      <w:numPr>
        <w:numId w:val="4"/>
      </w:numPr>
      <w:suppressAutoHyphens/>
      <w:spacing w:before="480" w:after="240"/>
      <w:jc w:val="left"/>
      <w:outlineLvl w:val="0"/>
    </w:pPr>
    <w:rPr>
      <w:rFonts w:cs="Arial"/>
      <w:b/>
      <w:bCs/>
      <w:kern w:val="32"/>
      <w:szCs w:val="32"/>
    </w:rPr>
  </w:style>
  <w:style w:type="paragraph" w:styleId="2">
    <w:name w:val="heading 2"/>
    <w:basedOn w:val="a0"/>
    <w:next w:val="NoindentNormal"/>
    <w:link w:val="20"/>
    <w:qFormat/>
    <w:pPr>
      <w:keepNext/>
      <w:keepLines/>
      <w:numPr>
        <w:ilvl w:val="1"/>
        <w:numId w:val="4"/>
      </w:numPr>
      <w:suppressAutoHyphens/>
      <w:spacing w:before="240" w:after="240"/>
      <w:jc w:val="left"/>
      <w:outlineLvl w:val="1"/>
    </w:pPr>
    <w:rPr>
      <w:rFonts w:cs="Arial"/>
      <w:bCs/>
      <w:i/>
      <w:iCs/>
      <w:szCs w:val="28"/>
    </w:rPr>
  </w:style>
  <w:style w:type="paragraph" w:styleId="3">
    <w:name w:val="heading 3"/>
    <w:basedOn w:val="a0"/>
    <w:next w:val="NoindentNormal"/>
    <w:qFormat/>
    <w:pPr>
      <w:keepNext/>
      <w:keepLines/>
      <w:numPr>
        <w:ilvl w:val="2"/>
        <w:numId w:val="4"/>
      </w:numPr>
      <w:suppressAutoHyphens/>
      <w:spacing w:before="240" w:after="120"/>
      <w:jc w:val="left"/>
      <w:outlineLvl w:val="2"/>
    </w:pPr>
    <w:rPr>
      <w:rFonts w:cs="Arial"/>
      <w:bCs/>
      <w:i/>
      <w:szCs w:val="26"/>
    </w:rPr>
  </w:style>
  <w:style w:type="paragraph" w:styleId="4">
    <w:name w:val="heading 4"/>
    <w:basedOn w:val="a0"/>
    <w:next w:val="NoindentNormal"/>
    <w:qFormat/>
    <w:pPr>
      <w:keepNext/>
      <w:numPr>
        <w:ilvl w:val="3"/>
        <w:numId w:val="4"/>
      </w:numPr>
      <w:suppressAutoHyphens/>
      <w:spacing w:before="120"/>
      <w:jc w:val="left"/>
      <w:outlineLvl w:val="3"/>
    </w:pPr>
    <w:rPr>
      <w:bCs/>
      <w:i/>
      <w:szCs w:val="28"/>
    </w:rPr>
  </w:style>
  <w:style w:type="paragraph" w:styleId="5">
    <w:name w:val="heading 5"/>
    <w:basedOn w:val="a0"/>
    <w:next w:val="NoindentNormal"/>
    <w:qFormat/>
    <w:pPr>
      <w:numPr>
        <w:ilvl w:val="4"/>
        <w:numId w:val="4"/>
      </w:numPr>
      <w:jc w:val="left"/>
      <w:outlineLvl w:val="4"/>
    </w:pPr>
    <w:rPr>
      <w:bCs/>
      <w:i/>
      <w:iCs/>
      <w:szCs w:val="26"/>
    </w:rPr>
  </w:style>
  <w:style w:type="paragraph" w:styleId="6">
    <w:name w:val="heading 6"/>
    <w:basedOn w:val="a0"/>
    <w:next w:val="a0"/>
    <w:qFormat/>
    <w:pPr>
      <w:numPr>
        <w:ilvl w:val="5"/>
        <w:numId w:val="4"/>
      </w:numPr>
      <w:spacing w:before="240"/>
      <w:outlineLvl w:val="5"/>
    </w:pPr>
    <w:rPr>
      <w:bCs/>
      <w:szCs w:val="22"/>
    </w:rPr>
  </w:style>
  <w:style w:type="paragraph" w:styleId="7">
    <w:name w:val="heading 7"/>
    <w:basedOn w:val="a0"/>
    <w:next w:val="a0"/>
    <w:qFormat/>
    <w:pPr>
      <w:spacing w:before="240" w:after="60"/>
      <w:outlineLvl w:val="6"/>
    </w:pPr>
    <w:rPr>
      <w:sz w:val="24"/>
    </w:rPr>
  </w:style>
  <w:style w:type="paragraph" w:styleId="8">
    <w:name w:val="heading 8"/>
    <w:basedOn w:val="a0"/>
    <w:next w:val="a0"/>
    <w:qFormat/>
    <w:pPr>
      <w:spacing w:before="240" w:after="60"/>
      <w:outlineLvl w:val="7"/>
    </w:pPr>
    <w:rPr>
      <w:i/>
      <w:iCs/>
      <w:sz w:val="24"/>
    </w:rPr>
  </w:style>
  <w:style w:type="paragraph" w:styleId="9">
    <w:name w:val="heading 9"/>
    <w:basedOn w:val="a0"/>
    <w:next w:val="a0"/>
    <w:qFormat/>
    <w:pPr>
      <w:spacing w:before="240" w:after="60"/>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NoindentNormal">
    <w:name w:val="NoindentNormal"/>
    <w:basedOn w:val="a0"/>
    <w:next w:val="a0"/>
    <w:pPr>
      <w:ind w:firstLine="0"/>
    </w:pPr>
  </w:style>
  <w:style w:type="paragraph" w:customStyle="1" w:styleId="Citaat1">
    <w:name w:val="Citaat1"/>
    <w:basedOn w:val="a0"/>
    <w:pPr>
      <w:ind w:left="204"/>
    </w:pPr>
    <w:rPr>
      <w:sz w:val="18"/>
    </w:rPr>
  </w:style>
  <w:style w:type="paragraph" w:customStyle="1" w:styleId="Abstract">
    <w:name w:val="Abstract"/>
    <w:basedOn w:val="a0"/>
    <w:pPr>
      <w:adjustRightInd w:val="0"/>
      <w:snapToGrid w:val="0"/>
      <w:spacing w:before="480"/>
      <w:ind w:left="851" w:right="851" w:firstLine="0"/>
    </w:pPr>
    <w:rPr>
      <w:sz w:val="16"/>
    </w:rPr>
  </w:style>
  <w:style w:type="paragraph" w:customStyle="1" w:styleId="Affiliation">
    <w:name w:val="Affiliation"/>
    <w:basedOn w:val="a0"/>
    <w:pPr>
      <w:ind w:firstLine="0"/>
      <w:jc w:val="center"/>
    </w:pPr>
    <w:rPr>
      <w:i/>
    </w:rPr>
  </w:style>
  <w:style w:type="paragraph" w:customStyle="1" w:styleId="Equation">
    <w:name w:val="Equation"/>
    <w:basedOn w:val="a0"/>
    <w:pPr>
      <w:tabs>
        <w:tab w:val="left" w:pos="6781"/>
      </w:tabs>
      <w:spacing w:before="240" w:after="240"/>
      <w:ind w:left="454" w:firstLine="0"/>
      <w:jc w:val="left"/>
    </w:pPr>
  </w:style>
  <w:style w:type="paragraph" w:customStyle="1" w:styleId="Footnote">
    <w:name w:val="Footnote"/>
    <w:basedOn w:val="a0"/>
    <w:pPr>
      <w:ind w:firstLine="136"/>
    </w:pPr>
    <w:rPr>
      <w:sz w:val="16"/>
    </w:rPr>
  </w:style>
  <w:style w:type="paragraph" w:customStyle="1" w:styleId="LISTalph">
    <w:name w:val="LISTalph"/>
    <w:basedOn w:val="a0"/>
    <w:pPr>
      <w:numPr>
        <w:numId w:val="1"/>
      </w:numPr>
      <w:tabs>
        <w:tab w:val="left" w:pos="499"/>
      </w:tabs>
    </w:pPr>
  </w:style>
  <w:style w:type="paragraph" w:customStyle="1" w:styleId="LISTdash">
    <w:name w:val="LISTdash"/>
    <w:basedOn w:val="a0"/>
    <w:pPr>
      <w:numPr>
        <w:numId w:val="2"/>
      </w:numPr>
      <w:tabs>
        <w:tab w:val="left" w:pos="454"/>
      </w:tabs>
      <w:adjustRightInd w:val="0"/>
      <w:snapToGrid w:val="0"/>
    </w:pPr>
  </w:style>
  <w:style w:type="paragraph" w:customStyle="1" w:styleId="LISTnum">
    <w:name w:val="LISTnum"/>
    <w:basedOn w:val="a0"/>
    <w:pPr>
      <w:numPr>
        <w:numId w:val="6"/>
      </w:numPr>
      <w:adjustRightInd w:val="0"/>
      <w:snapToGrid w:val="0"/>
      <w:ind w:left="714" w:hanging="357"/>
    </w:pPr>
  </w:style>
  <w:style w:type="paragraph" w:customStyle="1" w:styleId="References">
    <w:name w:val="References"/>
    <w:basedOn w:val="a0"/>
    <w:pPr>
      <w:numPr>
        <w:numId w:val="9"/>
      </w:numPr>
      <w:tabs>
        <w:tab w:val="left" w:pos="85"/>
      </w:tabs>
    </w:pPr>
    <w:rPr>
      <w:sz w:val="16"/>
    </w:rPr>
  </w:style>
  <w:style w:type="paragraph" w:customStyle="1" w:styleId="Table">
    <w:name w:val="Table"/>
    <w:basedOn w:val="a0"/>
    <w:pPr>
      <w:spacing w:before="60" w:after="60"/>
      <w:ind w:firstLine="0"/>
      <w:jc w:val="left"/>
    </w:pPr>
    <w:rPr>
      <w:sz w:val="16"/>
    </w:rPr>
  </w:style>
  <w:style w:type="paragraph" w:styleId="a4">
    <w:name w:val="Title"/>
    <w:basedOn w:val="a0"/>
    <w:next w:val="a0"/>
    <w:qFormat/>
    <w:pPr>
      <w:spacing w:before="480" w:after="320"/>
      <w:ind w:firstLine="0"/>
      <w:jc w:val="center"/>
    </w:pPr>
    <w:rPr>
      <w:noProof/>
      <w:kern w:val="28"/>
      <w:sz w:val="40"/>
    </w:rPr>
  </w:style>
  <w:style w:type="paragraph" w:customStyle="1" w:styleId="Author">
    <w:name w:val="Author"/>
    <w:basedOn w:val="a0"/>
    <w:pPr>
      <w:ind w:firstLine="0"/>
      <w:jc w:val="center"/>
    </w:pPr>
  </w:style>
  <w:style w:type="paragraph" w:styleId="a5">
    <w:name w:val="caption"/>
    <w:basedOn w:val="a0"/>
    <w:next w:val="a0"/>
    <w:qFormat/>
    <w:pPr>
      <w:spacing w:before="80" w:after="80"/>
      <w:ind w:firstLine="0"/>
    </w:pPr>
    <w:rPr>
      <w:sz w:val="16"/>
    </w:rPr>
  </w:style>
  <w:style w:type="paragraph" w:customStyle="1" w:styleId="LISTDescription">
    <w:name w:val="LISTDescription"/>
    <w:basedOn w:val="a0"/>
    <w:pPr>
      <w:ind w:left="454" w:hanging="454"/>
    </w:pPr>
  </w:style>
  <w:style w:type="paragraph" w:customStyle="1" w:styleId="Notes">
    <w:name w:val="Notes"/>
    <w:basedOn w:val="a0"/>
    <w:rPr>
      <w:sz w:val="16"/>
    </w:rPr>
  </w:style>
  <w:style w:type="paragraph" w:styleId="a6">
    <w:name w:val="Body Text"/>
    <w:basedOn w:val="a0"/>
    <w:semiHidden/>
    <w:pPr>
      <w:spacing w:after="120"/>
    </w:pPr>
  </w:style>
  <w:style w:type="paragraph" w:customStyle="1" w:styleId="CaptionLong">
    <w:name w:val="CaptionLong"/>
    <w:basedOn w:val="a0"/>
    <w:pPr>
      <w:spacing w:before="80" w:after="80"/>
      <w:ind w:firstLine="0"/>
    </w:pPr>
    <w:rPr>
      <w:sz w:val="16"/>
    </w:rPr>
  </w:style>
  <w:style w:type="paragraph" w:customStyle="1" w:styleId="HeadingUnn1">
    <w:name w:val="HeadingUnn1"/>
    <w:basedOn w:val="1"/>
    <w:next w:val="NoindentNormal"/>
    <w:pPr>
      <w:numPr>
        <w:numId w:val="0"/>
      </w:numPr>
    </w:pPr>
    <w:rPr>
      <w:bCs w:val="0"/>
    </w:rPr>
  </w:style>
  <w:style w:type="paragraph" w:customStyle="1" w:styleId="HeadingUnn2">
    <w:name w:val="HeadingUnn2"/>
    <w:basedOn w:val="2"/>
    <w:next w:val="NoindentNormal"/>
    <w:pPr>
      <w:numPr>
        <w:ilvl w:val="0"/>
        <w:numId w:val="0"/>
      </w:numPr>
    </w:pPr>
  </w:style>
  <w:style w:type="paragraph" w:customStyle="1" w:styleId="HeadingUnn3">
    <w:name w:val="HeadingUnn3"/>
    <w:basedOn w:val="3"/>
    <w:next w:val="NoindentNormal"/>
    <w:pPr>
      <w:numPr>
        <w:ilvl w:val="0"/>
        <w:numId w:val="0"/>
      </w:numPr>
    </w:pPr>
  </w:style>
  <w:style w:type="paragraph" w:customStyle="1" w:styleId="HeadingUnn4">
    <w:name w:val="HeadingUnn4"/>
    <w:basedOn w:val="4"/>
    <w:next w:val="NoindentNormal"/>
    <w:pPr>
      <w:numPr>
        <w:ilvl w:val="0"/>
        <w:numId w:val="0"/>
      </w:numPr>
    </w:pPr>
  </w:style>
  <w:style w:type="paragraph" w:customStyle="1" w:styleId="HeadingUnn5">
    <w:name w:val="HeadingUnn5"/>
    <w:basedOn w:val="5"/>
    <w:next w:val="a0"/>
    <w:pPr>
      <w:numPr>
        <w:ilvl w:val="0"/>
        <w:numId w:val="0"/>
      </w:numPr>
      <w:spacing w:before="120"/>
    </w:pPr>
  </w:style>
  <w:style w:type="paragraph" w:styleId="a">
    <w:name w:val="List Number"/>
    <w:basedOn w:val="a0"/>
    <w:semiHidden/>
    <w:pPr>
      <w:numPr>
        <w:numId w:val="3"/>
      </w:numPr>
    </w:pPr>
  </w:style>
  <w:style w:type="paragraph" w:customStyle="1" w:styleId="CaptionShort">
    <w:name w:val="CaptionShort"/>
    <w:basedOn w:val="a0"/>
    <w:pPr>
      <w:spacing w:before="80" w:after="80"/>
      <w:ind w:firstLine="0"/>
      <w:jc w:val="center"/>
    </w:pPr>
    <w:rPr>
      <w:sz w:val="16"/>
    </w:rPr>
  </w:style>
  <w:style w:type="paragraph" w:customStyle="1" w:styleId="Listbul">
    <w:name w:val="Listbul"/>
    <w:basedOn w:val="a0"/>
    <w:pPr>
      <w:numPr>
        <w:numId w:val="5"/>
      </w:numPr>
    </w:pPr>
  </w:style>
  <w:style w:type="paragraph" w:customStyle="1" w:styleId="Keywords">
    <w:name w:val="Keywords"/>
    <w:basedOn w:val="Abstract"/>
    <w:next w:val="1"/>
    <w:pPr>
      <w:spacing w:before="240" w:after="240"/>
    </w:pPr>
  </w:style>
  <w:style w:type="paragraph" w:styleId="a7">
    <w:name w:val="footnote text"/>
    <w:basedOn w:val="a0"/>
    <w:link w:val="a8"/>
    <w:semiHidden/>
    <w:rPr>
      <w:szCs w:val="20"/>
    </w:rPr>
  </w:style>
  <w:style w:type="character" w:styleId="a9">
    <w:name w:val="footnote reference"/>
    <w:semiHidden/>
    <w:rPr>
      <w:vertAlign w:val="superscript"/>
    </w:rPr>
  </w:style>
  <w:style w:type="character" w:customStyle="1" w:styleId="FootnoteChar">
    <w:name w:val="Footnote Char"/>
    <w:rPr>
      <w:rFonts w:eastAsia="ＭＳ 明朝"/>
      <w:sz w:val="16"/>
      <w:szCs w:val="24"/>
      <w:lang w:val="en-US" w:eastAsia="ja-JP" w:bidi="ar-SA"/>
    </w:rPr>
  </w:style>
  <w:style w:type="character" w:customStyle="1" w:styleId="MTEquationSection">
    <w:name w:val="MTEquationSection"/>
    <w:rPr>
      <w:i/>
      <w:vanish/>
      <w:color w:val="FF0000"/>
    </w:rPr>
  </w:style>
  <w:style w:type="character" w:styleId="aa">
    <w:name w:val="Hyperlink"/>
    <w:basedOn w:val="a1"/>
    <w:uiPriority w:val="99"/>
    <w:unhideWhenUsed/>
    <w:rsid w:val="005C4846"/>
    <w:rPr>
      <w:color w:val="0563C1" w:themeColor="hyperlink"/>
      <w:u w:val="single"/>
    </w:rPr>
  </w:style>
  <w:style w:type="paragraph" w:customStyle="1" w:styleId="ORCiDID">
    <w:name w:val="ORCiD ID"/>
    <w:basedOn w:val="a0"/>
    <w:qFormat/>
    <w:rsid w:val="00145B74"/>
    <w:pPr>
      <w:autoSpaceDE w:val="0"/>
      <w:autoSpaceDN w:val="0"/>
      <w:adjustRightInd w:val="0"/>
      <w:ind w:firstLine="0"/>
      <w:jc w:val="center"/>
    </w:pPr>
    <w:rPr>
      <w:szCs w:val="20"/>
    </w:rPr>
  </w:style>
  <w:style w:type="paragraph" w:styleId="ab">
    <w:name w:val="header"/>
    <w:basedOn w:val="a0"/>
    <w:link w:val="ac"/>
    <w:uiPriority w:val="99"/>
    <w:unhideWhenUsed/>
    <w:rsid w:val="005B49A1"/>
    <w:pPr>
      <w:tabs>
        <w:tab w:val="center" w:pos="4252"/>
        <w:tab w:val="right" w:pos="8504"/>
      </w:tabs>
      <w:snapToGrid w:val="0"/>
    </w:pPr>
  </w:style>
  <w:style w:type="character" w:customStyle="1" w:styleId="ac">
    <w:name w:val="ヘッダー (文字)"/>
    <w:basedOn w:val="a1"/>
    <w:link w:val="ab"/>
    <w:uiPriority w:val="99"/>
    <w:rsid w:val="005B49A1"/>
    <w:rPr>
      <w:szCs w:val="24"/>
      <w:lang w:val="en-US" w:eastAsia="ja-JP"/>
    </w:rPr>
  </w:style>
  <w:style w:type="paragraph" w:styleId="ad">
    <w:name w:val="footer"/>
    <w:basedOn w:val="a0"/>
    <w:link w:val="ae"/>
    <w:uiPriority w:val="99"/>
    <w:unhideWhenUsed/>
    <w:rsid w:val="005B49A1"/>
    <w:pPr>
      <w:tabs>
        <w:tab w:val="center" w:pos="4252"/>
        <w:tab w:val="right" w:pos="8504"/>
      </w:tabs>
      <w:snapToGrid w:val="0"/>
    </w:pPr>
  </w:style>
  <w:style w:type="character" w:customStyle="1" w:styleId="ae">
    <w:name w:val="フッター (文字)"/>
    <w:basedOn w:val="a1"/>
    <w:link w:val="ad"/>
    <w:uiPriority w:val="99"/>
    <w:rsid w:val="005B49A1"/>
    <w:rPr>
      <w:szCs w:val="24"/>
      <w:lang w:val="en-US" w:eastAsia="ja-JP"/>
    </w:rPr>
  </w:style>
  <w:style w:type="character" w:styleId="af">
    <w:name w:val="FollowedHyperlink"/>
    <w:basedOn w:val="a1"/>
    <w:uiPriority w:val="99"/>
    <w:semiHidden/>
    <w:unhideWhenUsed/>
    <w:rsid w:val="00182287"/>
    <w:rPr>
      <w:color w:val="954F72" w:themeColor="followedHyperlink"/>
      <w:u w:val="single"/>
    </w:rPr>
  </w:style>
  <w:style w:type="character" w:styleId="af0">
    <w:name w:val="Subtle Emphasis"/>
    <w:basedOn w:val="a1"/>
    <w:uiPriority w:val="19"/>
    <w:qFormat/>
    <w:rsid w:val="003F6EDF"/>
    <w:rPr>
      <w:i/>
      <w:iCs/>
      <w:color w:val="404040" w:themeColor="text1" w:themeTint="BF"/>
    </w:rPr>
  </w:style>
  <w:style w:type="character" w:customStyle="1" w:styleId="20">
    <w:name w:val="見出し 2 (文字)"/>
    <w:basedOn w:val="a1"/>
    <w:link w:val="2"/>
    <w:rsid w:val="00555EEA"/>
    <w:rPr>
      <w:rFonts w:cs="Arial"/>
      <w:bCs/>
      <w:i/>
      <w:iCs/>
      <w:szCs w:val="28"/>
      <w:lang w:val="en-US" w:eastAsia="ja-JP"/>
    </w:rPr>
  </w:style>
  <w:style w:type="character" w:styleId="af1">
    <w:name w:val="Unresolved Mention"/>
    <w:basedOn w:val="a1"/>
    <w:uiPriority w:val="99"/>
    <w:semiHidden/>
    <w:unhideWhenUsed/>
    <w:rsid w:val="00112583"/>
    <w:rPr>
      <w:color w:val="605E5C"/>
      <w:shd w:val="clear" w:color="auto" w:fill="E1DFDD"/>
    </w:rPr>
  </w:style>
  <w:style w:type="paragraph" w:styleId="af2">
    <w:name w:val="List Paragraph"/>
    <w:basedOn w:val="a0"/>
    <w:uiPriority w:val="34"/>
    <w:qFormat/>
    <w:rsid w:val="00C5231F"/>
    <w:pPr>
      <w:ind w:leftChars="400" w:left="840"/>
    </w:pPr>
  </w:style>
  <w:style w:type="character" w:customStyle="1" w:styleId="a8">
    <w:name w:val="脚注文字列 (文字)"/>
    <w:basedOn w:val="a1"/>
    <w:link w:val="a7"/>
    <w:semiHidden/>
    <w:rsid w:val="005C7F2C"/>
    <w:rPr>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509619">
      <w:bodyDiv w:val="1"/>
      <w:marLeft w:val="0"/>
      <w:marRight w:val="0"/>
      <w:marTop w:val="0"/>
      <w:marBottom w:val="0"/>
      <w:divBdr>
        <w:top w:val="none" w:sz="0" w:space="0" w:color="auto"/>
        <w:left w:val="none" w:sz="0" w:space="0" w:color="auto"/>
        <w:bottom w:val="none" w:sz="0" w:space="0" w:color="auto"/>
        <w:right w:val="none" w:sz="0" w:space="0" w:color="auto"/>
      </w:divBdr>
    </w:div>
    <w:div w:id="1081105132">
      <w:bodyDiv w:val="1"/>
      <w:marLeft w:val="0"/>
      <w:marRight w:val="0"/>
      <w:marTop w:val="0"/>
      <w:marBottom w:val="0"/>
      <w:divBdr>
        <w:top w:val="none" w:sz="0" w:space="0" w:color="auto"/>
        <w:left w:val="none" w:sz="0" w:space="0" w:color="auto"/>
        <w:bottom w:val="none" w:sz="0" w:space="0" w:color="auto"/>
        <w:right w:val="none" w:sz="0" w:space="0" w:color="auto"/>
      </w:divBdr>
    </w:div>
    <w:div w:id="1449591095">
      <w:bodyDiv w:val="1"/>
      <w:marLeft w:val="0"/>
      <w:marRight w:val="0"/>
      <w:marTop w:val="0"/>
      <w:marBottom w:val="0"/>
      <w:divBdr>
        <w:top w:val="none" w:sz="0" w:space="0" w:color="auto"/>
        <w:left w:val="none" w:sz="0" w:space="0" w:color="auto"/>
        <w:bottom w:val="none" w:sz="0" w:space="0" w:color="auto"/>
        <w:right w:val="none" w:sz="0" w:space="0" w:color="auto"/>
      </w:divBdr>
    </w:div>
    <w:div w:id="1454865590">
      <w:bodyDiv w:val="1"/>
      <w:marLeft w:val="0"/>
      <w:marRight w:val="0"/>
      <w:marTop w:val="0"/>
      <w:marBottom w:val="0"/>
      <w:divBdr>
        <w:top w:val="none" w:sz="0" w:space="0" w:color="auto"/>
        <w:left w:val="none" w:sz="0" w:space="0" w:color="auto"/>
        <w:bottom w:val="none" w:sz="0" w:space="0" w:color="auto"/>
        <w:right w:val="none" w:sz="0" w:space="0" w:color="auto"/>
      </w:divBdr>
    </w:div>
    <w:div w:id="1456021593">
      <w:bodyDiv w:val="1"/>
      <w:marLeft w:val="0"/>
      <w:marRight w:val="0"/>
      <w:marTop w:val="0"/>
      <w:marBottom w:val="0"/>
      <w:divBdr>
        <w:top w:val="none" w:sz="0" w:space="0" w:color="auto"/>
        <w:left w:val="none" w:sz="0" w:space="0" w:color="auto"/>
        <w:bottom w:val="none" w:sz="0" w:space="0" w:color="auto"/>
        <w:right w:val="none" w:sz="0" w:space="0" w:color="auto"/>
      </w:divBdr>
    </w:div>
    <w:div w:id="1570732354">
      <w:bodyDiv w:val="1"/>
      <w:marLeft w:val="0"/>
      <w:marRight w:val="0"/>
      <w:marTop w:val="0"/>
      <w:marBottom w:val="0"/>
      <w:divBdr>
        <w:top w:val="none" w:sz="0" w:space="0" w:color="auto"/>
        <w:left w:val="none" w:sz="0" w:space="0" w:color="auto"/>
        <w:bottom w:val="none" w:sz="0" w:space="0" w:color="auto"/>
        <w:right w:val="none" w:sz="0" w:space="0" w:color="auto"/>
      </w:divBdr>
    </w:div>
    <w:div w:id="1721593251">
      <w:bodyDiv w:val="1"/>
      <w:marLeft w:val="0"/>
      <w:marRight w:val="0"/>
      <w:marTop w:val="0"/>
      <w:marBottom w:val="0"/>
      <w:divBdr>
        <w:top w:val="none" w:sz="0" w:space="0" w:color="auto"/>
        <w:left w:val="none" w:sz="0" w:space="0" w:color="auto"/>
        <w:bottom w:val="none" w:sz="0" w:space="0" w:color="auto"/>
        <w:right w:val="none" w:sz="0" w:space="0" w:color="auto"/>
      </w:divBdr>
    </w:div>
    <w:div w:id="210268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rcid.org/0000-0001-7055-1009"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jmo.gr.jp/jmo/servlet/MDRTopmenu" TargetMode="External"/><Relationship Id="rId1" Type="http://schemas.openxmlformats.org/officeDocument/2006/relationships/hyperlink" Target="mailto:wada@hp-info.med.osaka-u.ac.j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IOSPressBookArticleWordTemplate%20with%20Text%20(2).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65B252B931FEEE4BAFDDD1B2D9F9A7A4" ma:contentTypeVersion="17" ma:contentTypeDescription="新しいドキュメントを作成します。" ma:contentTypeScope="" ma:versionID="eeb7c1f71e6fe9fd471e9faf7176b17d">
  <xsd:schema xmlns:xsd="http://www.w3.org/2001/XMLSchema" xmlns:xs="http://www.w3.org/2001/XMLSchema" xmlns:p="http://schemas.microsoft.com/office/2006/metadata/properties" xmlns:ns3="8897b8a1-9635-4647-8d0c-aa8d9cd2ce33" xmlns:ns4="b3bbb967-de14-484a-aff2-b3012b97c137" targetNamespace="http://schemas.microsoft.com/office/2006/metadata/properties" ma:root="true" ma:fieldsID="afaeb9d6b88fa9a38d1a20f990bbb393" ns3:_="" ns4:_="">
    <xsd:import namespace="8897b8a1-9635-4647-8d0c-aa8d9cd2ce33"/>
    <xsd:import namespace="b3bbb967-de14-484a-aff2-b3012b97c13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DateTaken"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97b8a1-9635-4647-8d0c-aa8d9cd2ce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3bbb967-de14-484a-aff2-b3012b97c137"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SharingHintHash" ma:index="14"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8897b8a1-9635-4647-8d0c-aa8d9cd2ce3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BA19EF-EF54-4526-AE56-8F297AAA88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97b8a1-9635-4647-8d0c-aa8d9cd2ce33"/>
    <ds:schemaRef ds:uri="b3bbb967-de14-484a-aff2-b3012b97c1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9E4545-98BD-41ED-91AA-98229290453B}">
  <ds:schemaRefs>
    <ds:schemaRef ds:uri="http://schemas.openxmlformats.org/officeDocument/2006/bibliography"/>
  </ds:schemaRefs>
</ds:datastoreItem>
</file>

<file path=customXml/itemProps3.xml><?xml version="1.0" encoding="utf-8"?>
<ds:datastoreItem xmlns:ds="http://schemas.openxmlformats.org/officeDocument/2006/customXml" ds:itemID="{E0E0C1BC-FD91-4D93-954B-1B1564699BC6}">
  <ds:schemaRefs>
    <ds:schemaRef ds:uri="b3bbb967-de14-484a-aff2-b3012b97c137"/>
    <ds:schemaRef ds:uri="http://schemas.microsoft.com/office/2006/metadata/properties"/>
    <ds:schemaRef ds:uri="http://www.w3.org/XML/1998/namespace"/>
    <ds:schemaRef ds:uri="8897b8a1-9635-4647-8d0c-aa8d9cd2ce33"/>
    <ds:schemaRef ds:uri="http://schemas.microsoft.com/office/2006/documentManagement/types"/>
    <ds:schemaRef ds:uri="http://purl.org/dc/dcmitype/"/>
    <ds:schemaRef ds:uri="http://purl.org/dc/terms/"/>
    <ds:schemaRef ds:uri="http://purl.org/dc/elements/1.1/"/>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DCC47026-E189-41AE-88BB-3BFDEB9573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IOSPressBookArticleWordTemplate with Text (2).dotx</Template>
  <TotalTime>1545</TotalTime>
  <Pages>5</Pages>
  <Words>2110</Words>
  <Characters>13226</Characters>
  <Application>Microsoft Office Word</Application>
  <DocSecurity>0</DocSecurity>
  <Lines>110</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1</vt:lpstr>
      <vt:lpstr>1</vt:lpstr>
    </vt:vector>
  </TitlesOfParts>
  <Company>VTEX</Company>
  <LinksUpToDate>false</LinksUpToDate>
  <CharactersWithSpaces>15306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 Wada</dc:creator>
  <cp:keywords/>
  <cp:lastModifiedBy>S. Wada</cp:lastModifiedBy>
  <cp:revision>390</cp:revision>
  <cp:lastPrinted>2008-10-24T08:15:00Z</cp:lastPrinted>
  <dcterms:created xsi:type="dcterms:W3CDTF">2024-10-28T05:39:00Z</dcterms:created>
  <dcterms:modified xsi:type="dcterms:W3CDTF">2024-11-14T00:38:00Z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0x01010065B252B931FEEE4BAFDDD1B2D9F9A7A4</vt:lpwstr>
  </property>
</Properties>
</file>