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S10. Discrimination and calibration of the scoring rules in the 2025 test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41"/>
        <w:gridCol w:w="1931"/>
        <w:gridCol w:w="1935"/>
        <w:gridCol w:w="1046"/>
        <w:gridCol w:w="1576"/>
        <w:gridCol w:w="1482"/>
        <w:gridCol w:w="1512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PR-AUC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Brier score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Calibration intercept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Calibration slope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AUC, unweighted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 (main test set)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0.785 (0.769, 0.801)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 (0.722, 0.756)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 (0.871, 0.889)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(0.801,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deprivation items (upper bound)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 (0.967, 0.975)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0.958 (0.951, 0.964)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 (0.796, 0.819)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 (0.698, 0.736)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 (0.765, 0.798)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 (0.806, 0.828)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 (0.719, 0.754)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0.768 (0.755, 0.780)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0.641 (0.622, 0.659)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 (0.791, 0.813)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 (0.645, 0.681)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 (0.770,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0.647 (0.629, 0.666)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 (0.800, 0.823)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 (0.703, 0.739)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 (0.846, 0.865)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 (0.766, 0.797)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 (0.793, 0.816)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income + structural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Multilayer perceptron, structural only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Non-poor households (main test set)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 (0.824, 0.848)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0.694 (0.670, 0.718)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 (0.779, 0.805)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0.636 (0.611, 0.661)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 (0.860, 0.880)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 (0.720, 0.767)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 (0.827, 0.850)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 (0.671,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 (0.743, 0.773)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 (0.530,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 (0.799, 0.824)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0.611 (0.588, 0.635)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 (0.767, 0.795)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0.607 (0.582, 0.634)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Weighted (HB040) unless stated otherwise; 95% CI from 8,000 household bootstrap replicates. Calibration intercept estimated with the logit of the predicted probability as offset; slope from logistic recalibration.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Brier score and calibration are not defined for the income ranking.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Additional comparison: two-hidden-layer network (PyTorch, Apple MPS), same training and test sets; AUC difference from LightGBM A1 −0.010 (−0.013, −0.006); A2 −0.001 (−0.005, 0.003).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2026-10-27T10:29:01Z</dcterms:modified>
  <cp:category/>
</cp:coreProperties>
</file>