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S12. Transportability of year-specific models across survey years: discrimination, calibration and score drift.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56"/>
        <w:gridCol w:w="707"/>
        <w:gridCol w:w="991"/>
        <w:gridCol w:w="755"/>
        <w:gridCol w:w="707"/>
        <w:gridCol w:w="991"/>
        <w:gridCol w:w="755"/>
        <w:gridCol w:w="707"/>
        <w:gridCol w:w="991"/>
        <w:gridCol w:w="755"/>
        <w:gridCol w:w="707"/>
        <w:gridCol w:w="707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Tested on 2023</w:t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Tested on 2024</w:t>
            </w:r>
          </w:p>
        </w:tc>
        <w:tc>
          <w:tcPr>
            <w:gridSpan w:val="3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Tested on 2025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 stability index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Slope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LightGBM, income + structural (all households)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+ relative income (non-poor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Trained on 2025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Within the training year: five-fold cross-fitted predictions. Other years: test households not matched to the training year. Intercept and slope: logistic calibration. PSI: distribution of the 2023 model's scores in 2024 and 2025 relative to its 2023 cross-fitted scores (deciles).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Spearman correlation of mean |SHAP| across features between year models (A1): 2023–2024 0.93, 2024–2025 0.88, 2023–2025 0.86.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2026-10-27T10:29:02Z</dcterms:modified>
  <cp:category/>
</cp:coreProperties>
</file>