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S13. Contribution of features and feature groups to LightGBM predictions (TreeSHAP).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211"/>
        <w:gridCol w:w="1211"/>
        <w:gridCol w:w="1211"/>
        <w:gridCol w:w="1211"/>
        <w:gridCol w:w="1211"/>
        <w:gridCol w:w="1211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test set (models trained on 2023–2024)</w:t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A1 year-specific models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 group, % of total mean |SHAP|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and 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Features among the 15 most important in A1 or B1, mean |SHAP| (rank)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relative to median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0.442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 (2)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disposable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0.727 (1)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 (NUTS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 (4)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0.325 (3)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 (8)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insulation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 (6)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 (5)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 (11)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 (7)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Satisfaction with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 (14)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 (9)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Floor area (m²)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 (10)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 (45)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Rent-to-income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 (31)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 (18)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Self-rated health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 (15)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 (22)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 (40)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 (51)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 (27)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 (15)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 (29)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 (24)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 (18)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 (16)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A1: all households, income + structural; B1: non-poor households, structural + relative income; A3: A1 + financial strain. Weighted mean absolute SHAP values on the log-odds scale, averaged over five seeds.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Year-specific models were trained and evaluated within each survey year.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2026-10-27T10:29:02Z</dcterms:modified>
  <cp:category/>
</cp:coreProperties>
</file>