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S14. Non-linearity and interactions: targeting models of increasing functional flexibility, 2025 main test 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3"/>
        <w:gridCol w:w="961"/>
        <w:gridCol w:w="1959"/>
        <w:gridCol w:w="1719"/>
        <w:gridCol w:w="1479"/>
        <w:gridCol w:w="2248"/>
        <w:gridCol w:w="2008"/>
        <w:gridCol w:w="1527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Tuning folds</w:t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main test set</w:t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 from the row above (95% CI)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CV log-loss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Log-loss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log-loss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AUC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sensitivity, pp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Income + structural features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terms (ridge 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0.4707 (0.4599, 0.4819)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 (0.847, 0.866)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 (31.7, 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Smooth main effects (ridge logistic, splines)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0.4721 (0.4616, 0.4829)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 (0.846, 0.865)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(31.3, 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 (−0.0002, 0.0031)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−0.001 (−0.002,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 (−0.8, 0.0)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Boosted main effects, no interactions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0.4650 (0.4545, 0.4757)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 (0.850, 0.869)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33.1 (31.2, 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−0.0071 (−0.0090, −0.0052)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 (0.002, 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 (−0.6, 0.5)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Boosted, pairwise interactions (depth-2 trees)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0.4700 (0.4593, 0.4809)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 (0.844, 0.863)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 (30.9, 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 (0.0037, 0.0062)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−0.006 (−0.007, −0.005)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 (−0.7, 0.2)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Boosted, unrestricted interactions (main 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0.4685 (0.4574, 0.4798)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 (0.846, 0.865)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(31.4, 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−0.0014 (−0.0042, 0.0014)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 (−0.001,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 (−0.1, 1.0)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Structural features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terms (ridge 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0.5150 (0.5034, 0.5267)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 (0.806, 0.828)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31.8 (30.1, 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Smooth main effects (ridge logistic, splines)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0.5164 (0.5051, 0.5279)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 (0.806, 0.828)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31.8 (30.2, 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0.0014 (−0.0003, 0.0031)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 (−0.002, 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(−0.5, 0.6)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Boosted main effects, no interactions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0.5132 (0.5018, 0.5248)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 (0.807, 0.829)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 (30.2, 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−0.0031 (−0.0047, −0.0015)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 (−0.001, 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(−0.5, 0.5)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Boosted, pairwise interactions (depth-2 trees)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0.5144 (0.5030, 0.5261)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 (0.804, 0.826)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31.2 (29.5, 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 (−0.0005, 0.0029)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−0.003 (−0.005, −0.001)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−0.7 (−1.1, −0.1)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Boosted, unrestricted interactions (main model)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0.5125 (0.5007, 0.5245)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 (0.806, 0.828)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 (29.7, 33.2)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−0.0019 (−0.0054, 0.0016)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 (−0.002, 0.006)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(−0.5, 0.9)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models trained on 2023–2024 with the same features and year-blocked tuning; boosted models are LightGBM with interaction constraints (one feature per tree), depth-2 trees, or the unrestricted main model. Sensitivity at the poverty line's targeting rate. Differences: paired household bootstrap (8,000 replicates); negative Δ log-loss and positive Δ AUC or sensitivity favor the more flexible model. The additive model on structural features selected the lowest learning rate and stopped close to the 30,000-round cap; the best configuration below the cap differed by 0.0001 in tuning-fold log-loss.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Friedman's H statistic for the main income + structural model (400 households drawn with probability proportional to weight; partial dependence on the log-odds scale): strongest pairs Equivalized income relative to median (log) × Region (NUTS 2) 0.049; Region (NUTS 2) × Owns a car 0.024; Equivalized income relative to median (log) × Owns a car 0.023; Equivalized income relative to median (log) × Satisfaction with dwelling 0.022; Equivalized income relative to median (log) × Leaking roof, damp or rot 0.020 (root-mean-square interaction component, log-odds). Overall interaction strength of a feature with all others, H² (share of the prediction variance): Region (NUTS 2) 0.009; Equivalized income relative to median (log) 0.009; Owns a car 0.003.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2026-10-27T10:29:02Z</dcterms:modified>
  <cp:category/>
</cp:coreProperties>
</file>