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S15. Sensitivity of the targeting comparison to the definition of the test set, the training period and weighting.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7"/>
        <w:gridCol w:w="973"/>
        <w:gridCol w:w="1266"/>
        <w:gridCol w:w="973"/>
        <w:gridCol w:w="1178"/>
        <w:gridCol w:w="973"/>
        <w:gridCol w:w="1266"/>
        <w:gridCol w:w="973"/>
        <w:gridCol w:w="1266"/>
        <w:gridCol w:w="973"/>
        <w:gridCol w:w="1266"/>
        <w:gridCol w:w="960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Main test set (n = 7,861)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Strict cleaning (n = 6,043)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Signature-only cleaning (n = 12,241)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Full 2025 sample (n = 25,836)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Trained on 2023 only (n = 14,856)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Main test set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Δ, pp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Δ, pp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Δ, pp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Δ, pp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Δ, pp (95% CI)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AUC, unweighted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All households: sensitivity at the poverty line's targeting rate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line (60% of median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Ranking by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(−2.5,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−0.7 (−2.5,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 (−1.5,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−2.4 (−3.3, −1.5)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−2.4 (−3.6, −1.3)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register-like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−1.3 (−2.4, −0.2)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−0.5 (−1.7,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−2.7 (−3.6, −1.8)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−3.7 (−4.4, −3.0)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(−0.3,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 (−0.4,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(−0.1,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(−0.1,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 (−0.1,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(−0.7,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−0.6 (−1.5,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 (linear),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(2.9,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(2.8,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(3.1,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 (3.2,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 (splines),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 (2.3,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(2.7,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(3.0,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 (2.5,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register-like subset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(−0.3,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(0.2,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 (−0.4,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 (2.6,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 (4.0,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(2.5,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 (3.9,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 (5.1,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(2.8,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+ 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 (3.8,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 (3.9,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 (4.5,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 (5.8,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+ deprivation items (upper bound)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 (7.8, 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 (7.5, 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 (7.4,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 (9.5,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Non-poor households: sensitivity with 20% of households targeted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Ranking by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−1.5 (−3.5,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−1.1 (−3.3,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−1.0 (−2.7,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−2.7 (−4.0, −1.5)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 +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−1.5 (−3.4,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−1.2 (−3.3,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(−2.5,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−0.8 (−2.0,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−1.1 (−3.3,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−0.8 (−3.2,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(−2.6,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−1.0 (−2.2,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logistic, structural +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 (3.9,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 (3.7,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(4.3,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 (5.0,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 (−0.7,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 (−1.1,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(4.2,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 (6.9, 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+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 (3.6,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 (3.4,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 (6.6, 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 (8.6,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+ financial strain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 (7.6, 11.5)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 (7.3, 11.5)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11.1 (9.5, 12.5)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 (11.4, 13.8)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test set: 2025 households not matched to 2023 or 2024 by member signature or reference-person key. Strict cleaning: additionally excludes households whose reference-person key or member signature occurs in 2023 or 2024 at all, including keys shared by several households. Signature-only cleaning: households unmatched by member signature alone (keeps re-interviewed one-person households and households whose composition changed). Full 2025 sample: all households. Trained on 2023 only: models trained on 2023 and tested on 2025 households not matched to 2023; hyperparameters were taken from the main tuning, whose folds include a 2024 training fold (no 2025 data were used).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Δ: paired bootstrap difference in sensitivity from the poverty line at its targeting rate (all households) or from income ranking at the same targeting rate (non-poor households), in the same test set; 95% CI from 8,000 household bootstrap replicates. –, identical to the poverty line by construction.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2026-10-27T10:29:03Z</dcterms:modified>
  <cp:category/>
</cp:coreProperties>
</file>