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S17. Additional dietary and health-cost estimates: three-group standardization, income gradient among the food insecure, and sensitivity analyses, 2025.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3005"/>
        <w:gridCol w:w="1715"/>
        <w:gridCol w:w="1859"/>
        <w:gridCol w:w="2062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&lt;1/week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Fruit &lt;1/day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&lt;1/day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Medical costs a heavy burden (households)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Three groups standardized to all adults (households), no income adjustment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 food secure,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24.4 (23.5, 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58.2 (57.3, 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50.0 (49.1, 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 (5.5, 6.3)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G2 food insecure, not poor,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50.9 (49.2, 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72.1 (70.8, 73.4)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62.3 (60.7, 63.9)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 (9.8, 11.6)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G3 food insecure and poor,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55.2 (52.7, 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75.1 (73.1, 77.1)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 (64.2, 68.9)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 (12.0, 15.1)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G2 − G1,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26.5 (24.5, 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 (12.4,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 (10.5, 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 (3.7, 5.9)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G2 − G3,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−4.3 (−7.4, −1.4)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−3.0 (−5.3, −0.7)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−4.2 (−6.9, −1.4)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−2.9 (−4.7, −1.1)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Position of G2 between G1 (0) and G3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(0.78,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(0.71,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(0.62,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(0.47, 0.83)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(events)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57,704 (19,564)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57,899 (36,725)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57,899 (32,326)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25,836 (2,030)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Food-insecure adults (households) by equivalized income relative to the median,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58.8 (56.5, 61.1)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74.7 (72.8, 76.7)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66.8 (64.5, 69.0)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(11.5, 14.5)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0.6–0.8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54.8 (52.0, 57.4)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73.2 (71.1, 75.3)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64.1 (61.7, 66.4)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 (9.1, 12.2)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0.8–1.0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51.1 (48.2, 54.2)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72.9 (70.4, 75.5)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(61.2, 66.8)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 (7.4, 10.5)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1.0–1.5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50.2 (47.3, 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70.1 (67.7, 72.3)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60.9 (58.0, 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11.9 (10.3, 13.6)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54.2 (48.1, 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72.3 (67.5, 76.6)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65.3 (60.3, 70.0)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 (7.8, 14.2)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(events)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21,024 (11,263)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 (15,556)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 (13,921)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10,064 (1,158)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Meat &lt;1/week with vegetarian or vegan adults counted as low intake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C1, G2 − G1, pp; prevalence ratio (n = 45,731)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23.1 (21.0, 25.2); 1.94 (1.83, 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C2, G2 − G3, pp; prevalence ratio (n = 21,134)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−5.9 (−9.0, −2.9); 0.90 (0.85, 0.95)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Covariates as in C2 (age, sex, education, region, household size, number of children and covariates selected for C2); income is not adjusted because it defines the groups. Position: (G2 − G1) / (G3 − G1). Estimates with 95% CI from 2,000 household bootstrap replicates.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Unmet medical need due to cost, among adults reporting a need for medical care (few events; minimal model: age, sex; income in C1): C1 0.5 (0.3, 0.7) pp, prevalence ratio 4.92 (3.06, 8.90) (n = 42,128); C2 −1.2 (−1.7, −0.8) pp, prevalence ratio 0.38 (0.27, 0.53) (n = 19,592).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2026-10-27T10:29:04Z</dcterms:modified>
  <cp:category/>
</cp:coreProperties>
</file>