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S18. Simulation S1: optimism of out-of-time performance from households re-interviewed across survey years.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2022"/>
        <w:gridCol w:w="2182"/>
        <w:gridCol w:w="2108"/>
        <w:gridCol w:w="2329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Overlap with the training year, test set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optimism (MCSE)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 optimism, pp (MCSE)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Calibration slope, shared effects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Calibration slope, independent effects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Latent ICC 0.3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30.0%, full 2025 sample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0.0040 (0.0002)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30.0%, unmatched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0.0001 (0.0003)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−0.03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full 2025 sample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0.0092 (0.0002)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0.0003 (0.0004)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unmatched, 10% undetected re-interviews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0.0015 (0.0004)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unmatched, 20% undetected re-interviews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0.0033 (0.0003)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unmatched, 35.8% undetected re-interviews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0.0051 (0.0003)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60.0%, full 2025 sample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0.0079 (0.0002)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60.0%, unmatched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 (0.0004)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Latent ICC 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30.0%, full 2025 sample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0.0120 (0.0003)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30.0%, unmatched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0.0003 (0.0004)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full 2025 sample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0.0264 (0.0003)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0.0008 (0.0005)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unmatched, 10% undetected re-interviews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0.0045 (0.0005)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unmatched, 20% undetected re-interviews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0.0086 (0.0005)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 overlap (67.8%), unmatched, 35.8% undetected re-interviews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0.0143 (0.0004)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60.0%, full 2025 sample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0.0235 (0.0003)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 60.0%, unmatched households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−0.0001 (0.0005)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−0.04 (0.05)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Optimism: metric when outcomes share the household random effect of the training year minus the same metric with independent effects; MCSE, Monte Carlo standard error. Sensitivity at the poverty line's targeting rate. ICC, intraclass correlation of the latent household effect.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Undetected re-interviews: randomly chosen re-interviewed households evaluated as if unmatched, as a share of the evaluated set; the largest share equals the share of households in the signature-only cleaned test set that the reference-person key identifies as re-interviewed; undetected-overlap rows are shown for the observed overlap only.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2026-10-27T10:29:04Z</dcterms:modified>
  <cp:category/>
</cp:coreProperties>
</file>