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S19. Simulation S2: exclusion error and targeting performance under misclassification of the food insecurity item.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2"/>
        <w:gridCol w:w="1235"/>
        <w:gridCol w:w="1314"/>
        <w:gridCol w:w="1417"/>
        <w:gridCol w:w="1027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Accuracy of HE090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Exclusion error,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Rule-set sensitivity,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Poverty-line sensitivity, %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Rule set − poverty line, pp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Non-differential misclassification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0.80, specificity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0.80, specificity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0.80, specificity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0.90, specificity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0.90, specificity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0.90, specificity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0.95, specificity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0.95, specificity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0.95, specificity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Income-differential misclassification (specificity 5 pp lower in income quintiles 1–2)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0.80, specificity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0.80, specificity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0.80, specificity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0.90, specificity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0.90, specificity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0.90, specificity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0.95, specificity 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0.95, specificity 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−0.8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Sensitivity 0.95, specificity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−0.7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True food insecurity imputed from the observed item given its assumed sensitivity and specificity; values are means over imputations. Observed values are given in the main text. Rule set: depth-3 tree on structural features.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2026-10-27T10:29:04Z</dcterms:modified>
  <cp:category/>
</cp:coreProperties>
</file>