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0"/>
          <w:szCs w:val="20"/>
          <w:color w:val="000000"/>
        </w:rPr>
        <w:t xml:space="preserve">Table S2. Feature layers used in the targeting models and variables excluded from the feature set.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2477"/>
        <w:gridCol w:w="3108"/>
        <w:gridCol w:w="1471"/>
      </w:tblGrid>
      <w:tr>
        <w:trPr>
          <w:trHeight w:val="415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Type / reason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Register-like subset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T1 Income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relative to median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log_goreli_gelir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disposable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hane_gelir_dilim5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wages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pay_ucret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self-employment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pay_mutesebbis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pensions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pay_emekli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pay_sosyal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income from private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pay_ozel_transfer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Receives social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sosyal_yardim_var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Receives private transfers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ozel_transfer_var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Has rental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kira_geliri_var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Rent-to-income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kira_orani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T2 Structural (no income information)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reis_yas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size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hane_buyuklugu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 (&lt;18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n_cocuk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 aged 0–5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n_0_5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Members aged 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n_65plus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Members aged ≥75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n_75plus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(≥18 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n_yetiskin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with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n_kronik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with activity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n_gali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in bad or very bad 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n_kotu_saglik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with unmet medical need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n_karsilanmayan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Employed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n_calisan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Unemployed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n_issiz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Retired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n_emekli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Adults in domestic or care 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n_ev_isi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Informally employed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n_kayitsiz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Casual (daily-wage) workers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n_yevmiyeli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Temporary employees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n_gecici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Share of adults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calisan_oran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Dependency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bagimli_oran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Work intensity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is_yogunlugu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rooms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Floor area (m²)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Floor area per person (m²)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m2_kisi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Rent relative to median rent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goreli_kira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Region (NUTS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Household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HB050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reis_cinsiyet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Marital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reis_medeni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status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reis_calisma7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Education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reis_egitim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egitim_max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Lowest education among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egitim_min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Self-rated health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reis_saglik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 person has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reis_kronik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Activity limitation of reference person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reis_gali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Single adult with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tek_yetiskin_cocuklu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Dwelling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Tenure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Heating system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Bath or shower in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Indoor flushing toilet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Separate kitchen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Satisfaction with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computer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HH180_var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Has internet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HH190_var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washing machine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HH200_var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dishwasher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HH220_var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an air conditioner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HH230_var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Owns a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HH240_var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yes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Leaking roof, damp or rot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Insufficient insulation for heating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Dwelling too dark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Noise from neighbors or street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Adequate living space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Pollution or other environmental problems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Crime or violence in the 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HS070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Overcrowded dwelling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kalabalik_konut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Severe housing deprivation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ciddi_konut_yoksunlugu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T3 Financial strain (self-reported)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Ability to make ends meet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rent or mortgage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utility bills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Arrears on installments or loans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Burden of total housing costs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ordinal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Burden of non-housing debt repayment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Minimum income needed relative to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he050_orani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T4 Deprivation items (upper bound only)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afford one-week holiday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face unexpected expenses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Can keep home adequately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Replaces worn-out furniture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Computer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Internet access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Washing machine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Dishwasher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Air conditioner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no internet (cannot afford)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msy_internet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cannot replace worn-out clothes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msy_giysi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no two pairs of shoes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msy_ayakkabi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cannot spend small sum on oneself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msy_harclik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no regular leisure activity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msy_bos_zaman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Personal: cannot meet friends or family for a meal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msy_arkadas_aile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numeric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Not used as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Reason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afford meat, chicken or fish every second 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msy_et_tavuk_balik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MSD items lacking (0–13)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msy_sayi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Deprivation in ≥5 of 13 MSD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Deprivation in ≥7 of 13 MSD items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Number of material deprivation items lacking (0–9)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my_sayi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Material deprivation (≥3 of 9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my_3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Severe material deprivation (≥4 of 9 items)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my_4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 risk of poverty or social exclusion (AROPE)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yoksulluk_sosyal_dislanma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Contains the outcome (HE090)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 risk of poverty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yoksul_60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Defines the Model B population; comparison 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At risk of poverty (70%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yoksul_70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Comparison arm (threshold)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gelir_dilim5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information as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disposable income (TRY)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esdeger_gelir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 TRY; not comparable across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relative to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goreli_esdeger_gelir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Same information as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cost-to-income ratio, 2024 included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konut_maliyet_orani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Break in HH050 in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 overburden (≥40% of income), 2024 included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konut_maliyet_asiri_yuk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Break in HH050 in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cost-to-income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konut_orani_k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for all of 2024; not usable with year-blocked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Housing cost overburden (≥40% of income)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konut_asiri_k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 for all of 2024; not usable with year-blocked training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 TRY; relative rent and rent-to-income ratio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HH050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 TRY; break in 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HG110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Nominal TRY; relative income used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afford one-week holiday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msy_tatil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Duplicate of HE080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face unexpected expenses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msy_beklenmedik_harcama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Duplicate of HE100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keep home adequately warm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msy_isinma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Duplicate of HE110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replace worn-out furniture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msy_mobilya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Coded from HE120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cannot afford a car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msy_otomobil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Coded from HH240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kiraci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Collapsed HH020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Self-defined main activity of reference person (FK210)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reis_fk210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Near-duplicate of activity status (V = 1.00)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Equivalized income decile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gelir_dilim10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Monotone function of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Relative poverty gap (60% threshold)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yoksulluk_acigi_60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Monotone function of relative 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MSD item: arrears on rent, mortgage, bills or installments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msy_borc_odeme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Union of HE010–HE030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Member aged ≥65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yasli_var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 of members aged ≥65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Children in 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cocuk_var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 of number of children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1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24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employed adult in household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calisan_yok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Threshold of employed adults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HB031 (NUTS 2) is used in LightGBM and ridge models; HB030 (NUTS 1) replaces it in the depth-3 trees and lasso models. Ordinal features enter trees as ordered numbers; nominal features enter LightGBM as native categories and other models as indicators.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Register-like subset: survey-measured features of the kind held in population, address, education or social-security registers, used for a restricted rule set; informal employment and work intensity would need linked employment records.</w:t>
            </w:r>
          </w:p>
        </w:tc>
      </w:tr>
    </w:tbl>
    <w:sectPr>
      <w:pgMar w:header="708" w:bottom="1152" w:top="1152" w:right="1152" w:left="1152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salim</cp:lastModifiedBy>
  <cp:revision>9</cp:revision>
  <dcterms:created xsi:type="dcterms:W3CDTF">2017-02-28T11:18:00Z</dcterms:created>
  <dcterms:modified xsi:type="dcterms:W3CDTF">2026-10-27T10:28:58Z</dcterms:modified>
  <cp:category/>
</cp:coreProperties>
</file>