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S20. Simulation S3: bias and coverage of household bootstrap intervals.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87"/>
        <w:gridCol w:w="1485"/>
        <w:gridCol w:w="1086"/>
        <w:gridCol w:w="1504"/>
        <w:gridCol w:w="1886"/>
        <w:gridCol w:w="2088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True value, %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Bias, pp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Empirical SE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bootstrap SE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Coverage, % (MCSE)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Exclusion error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95.8 (0.9)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Rule-set 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91.0 (1.3)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Rule-set PPV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94.0 (1.1)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percentile intervals from 200 household bootstrap replicates (Rao–Wu–Yue rescaled bootstrap) per simulated sample; MCSE, Monte Carlo standard error. SE, standard error. True value: the value in the pseudo-population, whose outcomes are model-based, so it differs from the observed exclusion error (68.1%).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2026-10-27T10:29:04Z</dcterms:modified>
  <cp:category/>
</cp:coreProperties>
</file>