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S4. LightGBM hyperparameters selected by year-blocked cross-validation.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7"/>
        <w:gridCol w:w="2027"/>
        <w:gridCol w:w="999"/>
        <w:gridCol w:w="945"/>
        <w:gridCol w:w="999"/>
        <w:gridCol w:w="881"/>
        <w:gridCol w:w="665"/>
        <w:gridCol w:w="715"/>
        <w:gridCol w:w="909"/>
        <w:gridCol w:w="934"/>
        <w:gridCol w:w="797"/>
        <w:gridCol w:w="648"/>
        <w:gridCol w:w="881"/>
        <w:gridCol w:w="921"/>
        <w:gridCol w:w="707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Features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Stage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Learning rate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Leaves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Min. data in leaf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Max. depth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Feature fraction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Bagging fraction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λ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b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λ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b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Rounds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CV log-loss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CV AUC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households; income + structural (T1 + T2)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extended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households; structural only (T2)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extended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households; T1 + T2 + financial strain (T3)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extended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households; T1 + T2 + T3 + deprivation items (T4), 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extended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Non-poor households; structural +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extended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Non-poor households; structural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extended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Non-poor households; structural + relative income + financial strain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extended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0.804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A2i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households; register-like subset of structural features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focused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</w:t>
            </w:r>
          </w:p>
        </w:tc>
      </w:tr>
      <w:tr>
        <w:trPr>
          <w:trHeight w:val="360" w:hRule="auto"/>
        </w:trPr>
        <w:tc>
          <w:tcPr>
            <w:gridSpan w:val="1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Search: 60 configurations from a broad space and 60 from a focused space (random search), the five best re-evaluated with three seeds; a further 30-configuration search around the selected configuration when a value lay at a search boundary. Stage: search that produced the selected configuration (focused, focused space or seed re-evaluation; extended, boundary extension).</w:t>
            </w:r>
          </w:p>
        </w:tc>
      </w:tr>
      <w:tr>
        <w:trPr>
          <w:trHeight w:val="360" w:hRule="auto"/>
        </w:trPr>
        <w:tc>
          <w:tcPr>
            <w:gridSpan w:val="1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Folds: train on 2023, validate on 2024 households not matched to 2023, and vice versa; criterion weighted log-loss averaged over folds and seeds; early stopping patience max(100, 2/learning rate).</w:t>
            </w:r>
          </w:p>
        </w:tc>
      </w:tr>
      <w:tr>
        <w:trPr>
          <w:trHeight w:val="360" w:hRule="auto"/>
        </w:trPr>
        <w:tc>
          <w:tcPr>
            <w:gridSpan w:val="1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Ridge logistic C (selected on the folds; halved for the final fit on two years): splines, income + structural 0.001; splines, structural 0.001; splines, non-poor, structural + relative income 0.001; splines, trained 2023 0.001; linear, income + structural 0.0032; linear, structural 0.0032. Rule sets (depth-3 trees): structural, gini, minimum leaf weight 0.02, α = 0; income + structural, gini, minimum leaf weight 0.02, α = 0; register-like, entropy, minimum leaf weight 0.001, α = 0; non-poor, structural, gini, minimum leaf weight 0.05, α = 0; non-poor, structural + relative income, gini, minimum leaf weight 0.05, α = 0; structural, trained 2023, gini, minimum leaf weight 0.02, α = 0.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2026-10-27T10:28:58Z</dcterms:modified>
  <cp:category/>
</cp:coreProperties>
</file>