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S5. Model specification and diagnostics for the dietary and health-cost comparisons (H3),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5"/>
        <w:gridCol w:w="1360"/>
        <w:gridCol w:w="1360"/>
        <w:gridCol w:w="1360"/>
        <w:gridCol w:w="1653"/>
        <w:gridCol w:w="1201"/>
        <w:gridCol w:w="1538"/>
        <w:gridCol w:w="961"/>
        <w:gridCol w:w="925"/>
        <w:gridCol w:w="705"/>
        <w:gridCol w:w="904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Added covariates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p: region / sex / income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Main 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Archer–Lemeshow 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Max. calibration gap, pp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 per parameter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DEFF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Bootstrap shift, pp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&lt;1/week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 / 0.349 / 0.006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199.8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 / 0.019 / 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 / 0.474 / 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 &lt;1/week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 / 0.008 / 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 / 0.005 / 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 / &lt;0.001 / 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Health costs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 / 0.809 / 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Health costs heavy burden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df natural spline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status, activity limitation, tenure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 / 0.163 / 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 effects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Core covariates: age, sex, education, region (NUTS 1), household size, number of children; C1 additionally relative income (log, natural spline). Household outcome: characteristics of the reference person.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Covariates added when they changed the risk difference by ≥0.5 percentage points or the prevalence ratio by ≥10% (no p-value-based selection). Fully interacted model used when an interaction p &lt; 0.01.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DEFF, design effect of household clustering for the risk difference. Bootstrap shift: largest change in 95% limits between 1,000, 2,000 and 4,000 replicates.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2026-10-27T10:28:59Z</dcterms:modified>
  <cp:category/>
</cp:coreProperties>
</file>