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S6. Design of the plasmode simulation studies.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9"/>
        <w:gridCol w:w="2975"/>
        <w:gridCol w:w="2290"/>
        <w:gridCol w:w="2912"/>
        <w:gridCol w:w="2978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Scenarios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Replicates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Data-generating 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Evaluation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S1 Panel overlap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(latent ICC 0.3, 0.6 × overlap 30%, observed, 60%)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Small LightGBM fitted to 2024–2025 food insecurity; shared household random effect for matched 2024–2025 pairs; intercept recalibrated to the observed prevalence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with the A1 tuning (fixed trees and learning rate) trained on simulated 2024, tested on simulated 2025 (full, unmatched, and unmatched with a share of re-interviewed households left undetected); optimism = metric with shared minus independent random effects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S2 Outcome misclassification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(Se 0.80–0.95 × Sp 0.90–0.99; non-differential and income-differential)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True status imputed from observed HE090 by Bayes' rule using calibrated LightGBM probabilities; differential: Sp 5 pp lower in income quintiles 1–2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Exclusion error, food insecurity among the poor, rule-set and poverty-line sensitivity recomputed with imputed true status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S3 Interval coverage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500 data sets × 200 bootstrap replicates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Pseudo-population of 2025 households with HB040 weights and calibrated LightGBM probabilities; equal-probability resampling of households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Coverage of 95% percentile household-bootstrap intervals for exclusion error, rule-set sensitivity and PPV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Seeds: scenario seed 20261101 + 1000 × scenario number; replicate seeds derived from the scenario seed.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2026-10-27T10:28:59Z</dcterms:modified>
  <cp:category/>
</cp:coreProperties>
</file>