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S9. Univariable association of features with food insecurity (ten strongest per layer) and multivariable comparison of feature layers.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1384"/>
        <w:gridCol w:w="992"/>
        <w:gridCol w:w="1384"/>
        <w:gridCol w:w="992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All households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Non-poor households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McFadden R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 2025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McFadden R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 2025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T1 Income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relative to median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decile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disposable income quintile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cost-to-income ratio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Relative poverty gap (60% threshold)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 risk of poverty (50% threshold)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Receives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 overburden (≥40% of income)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pensions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T2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insulation for heating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T3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Ability to make ends meet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arrears on rent, mortgage, bills or installments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utility bills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installments or loans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 income needed relative to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Burden of total housing costs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Burden of non-housing debt repayment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rent or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T4 Deprivation 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MSD items lacking, meat item excluded (0–12)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afford one-week holiday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afford one-week holiday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face unexpected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face unexpected expenses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Replaces worn-out furniture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replace worn-out furniture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keep home adequately warm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keep home adequately warm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cannot replace worn-out 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Layer combinations (main-effects logistic, trained 2023, tested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 + 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 + T2 + 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 + T2 + T3 + 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0.941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 + T3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Univariable: weighted logistic regression per survey year (numeric features as 3-df natural splines); McFadden R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averaged over 2023–2025; weighted AUC in 2025. Exploratory output used to assign layers; not a test.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Layer combinations: McFadden R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in the 2023 training data and weighted AUC in 2025.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Screened candidate not used as a model feature (Supplementary Table S2).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2026-10-27T10:29:00Z</dcterms:modified>
  <cp:category/>
</cp:coreProperties>
</file>