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Times New Roman" w:hAnsi="Times New Roman" w:eastAsia="Times New Roman" w:cs="Times New Roman"/>
          <w:i w:val="false"/>
          <w:b w:val="true"/>
          <w:u w:val="none"/>
          <w:strike w:val="false"/>
          <w:sz w:val="20"/>
          <w:szCs w:val="20"/>
          <w:color w:val="000000"/>
        </w:rPr>
        <w:t xml:space="preserve">Table 2. Meal-affordability deprivation, income poverty and exclusion error of poverty-based identification, Türkiye, 2023–2025.</w:t>
      </w:r>
    </w:p>
    <w:tbl xmlns:a="http://schemas.openxmlformats.org/drawingml/2006/main" xmlns:pic="http://schemas.openxmlformats.org/drawingml/2006/picture">
      <w:tblPr>
        <w:tblLayout w:type="fixed"/>
        <w:jc w:val="center"/>
        <w:tblLook w:firstRow="1" w:lastRow="0" w:firstColumn="0" w:lastColumn="0" w:noHBand="0" w:noVBand="1"/>
      </w:tblPr>
      <w:tblGrid>
        <w:gridCol w:w="2092"/>
        <w:gridCol w:w="1974"/>
        <w:gridCol w:w="1974"/>
        <w:gridCol w:w="1974"/>
        <w:gridCol w:w="1922"/>
      </w:tblGrid>
      <w:tr>
        <w:trPr>
          <w:trHeight w:val="415" w:hRule="auto"/>
          <w:tblHeader/>
        </w:trPr>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Indicator</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2023</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2024</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2025</w:t>
            </w:r>
          </w:p>
        </w:tc>
        <w:tc>
          <w:tcPr>
            <w:tcBorders>
              <w:bottom w:val="single" w:sz="4"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2025 − 2023</w:t>
            </w:r>
          </w:p>
        </w:tc>
      </w:tr>
      <w:tr>
        <w:trPr>
          <w:trHeight w:val="400" w:hRule="auto"/>
        </w:trPr>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Households (weight HB040)</w:t>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4"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Meal-affordability deprivation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37.4 (36.7,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38.3 (37.6,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37.0 (36.3,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−0.4 (−1.3, 0.5)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Income poverty (60%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16.3 (15.8, 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16.5 (16.0, 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16.0 (15.5,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−0.3 (−0.9, 0.3)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Meal-deprived and not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26.3 (25.6,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26.9 (26.3, 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25.2 (24.5, 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−1.1 (−2.0, −0.3)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Meal-affordability deprivation among the poor (60%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68.0 (66.4, 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68.8 (67.3, 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73.8 (72.4, 75.3)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(3.9, 7.8)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Meal-deprived, non-poor households, millions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7.03 (6.84, 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7.26 (7.07,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6.84 (6.67,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−0.19 (−0.44, 0.07)</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 % of meal-deprived not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poverty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70.4 (69.3,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70.3 (69.3,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68.1 (67.0, 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−2.3 (−3.7, −0.9)</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50% poverty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80.9 (80.0, 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81.1 (80.2, 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80.0 (79.1, 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 (−2.1, 0.2)</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poverty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60.0 (58.9, 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59.8 (58.7, 61.0)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56.5 (55.4, 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(−5.0, −2.1)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Deprivation in ≥5 of 12 MSD items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56.8 (55.6,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60.8 (59.7, 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55.9 (54.7, 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 (−2.4, 0.6)</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Very low work intensity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88.0 (87.2, 88.7)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87.5 (86.7, 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86.1 (85.4,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−1.9 (−2.8, −0.9)</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Persons (weight FK050; households as clusters)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Meal-affordability deprivation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39.1 (38.3,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39.3 (38.5,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35.1 (34.3,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−4.1 (−5.1, −3.0)</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Income poverty (60%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21.3 (20.5,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21.2 (20.5, 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20.6 (19.9, 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−0.6 (−1.5, 0.3)</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Meal-deprived and not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24.8 (24.0,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24.8 (24.1,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20.2 (19.6,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(−5.5, −3.7)</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Meal-affordability deprivation among the poor (60%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67.5 (65.7, 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68.4 (66.6, 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72.0 (70.2, 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4.5 (2.1, 6.9)</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Children (&lt;18 years) living in meal-deprived households,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43.9 (42.6, 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43.5 (42.3, 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39.2 (38.0, 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 (−6.2, −3.1)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Of whom not poor,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49.8 (47.8, 51.8)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48.7 (46.7, 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42.7 (40.7,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−7.1 (−9.7, −4.5)</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Children living in meal-deprived, non-poor households, millions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4.90 (4.65,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4.69 (4.44, 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3.62 (3.40,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−1.28 (−1.59, −0.98)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Exclusion error, % of meal-deprived not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60% poverty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63.3 (61.9, 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63.2 (61.8, 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57.6 (56.3, 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−5.7 (−7.5, −3.8)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50% poverty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75.4 (74.2, 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75.2 (73.9, 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71.7 (70.4, 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−3.7 (−5.4, −2.1)</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70% poverty threshold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52.7 (51.3, 54.1)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52.5 (51.1, 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45.1 (43.8, 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−7.6 (−9.4, −5.8)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Deprivation in ≥5 of 12 MSD items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52.0 (50.6, 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56.6 (55.2, 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53.0 (51.6,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(−0.9, 2.8)</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Very low work intensity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89.0 (88.2, 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87.6 (86.8, 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85.4 (84.5, 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−3.6 (−4.7, −2.4)</w:t>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true"/>
                <w:u w:val="none"/>
                <w:strike w:val="false"/>
                <w:sz w:val="18"/>
                <w:szCs w:val="18"/>
                <w:color w:val="000000"/>
              </w:rPr>
            </w:pPr>
            <w:r>
              <w:rPr>
                <w:rFonts w:ascii="Times New Roman" w:hAnsi="Times New Roman" w:eastAsia="Times New Roman" w:cs="Times New Roman"/>
                <w:i w:val="false"/>
                <w:b w:val="true"/>
                <w:u w:val="none"/>
                <w:strike w:val="false"/>
                <w:sz w:val="18"/>
                <w:szCs w:val="18"/>
                <w:color w:val="000000"/>
              </w:rPr>
              <w:t xml:space="preserve">Income gradient of meal-affordability deprivation (households)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Association with log relative income, Wald F (4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 = 578.1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 = 623.5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 = 717.6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Departure from linearity, Wald F (3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 = 23.6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 = 17.2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 = 48.4 (p &lt; 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Step at the 60% threshold, percentage points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5.8 (2.0,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4.3 (0.6,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4.8 (1.2, 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Step, seven-knot spline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0.9 (−4.9,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1.0 (−4.5,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2.8 (−2.5,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Step, piecewise-linear (sensitivity)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0.7 (−2.4,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0.8 (−2.2, 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−2.1 (−5.0, 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r>
      <w:tr>
        <w:trPr>
          <w:trHeight w:val="4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the 2023 and 2025 curves, Wald F (5 df)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 = 33.5 (p &lt; 0.001)</w:t>
            </w:r>
          </w:p>
        </w:tc>
      </w:tr>
      <w:tr>
        <w:trPr>
          <w:trHeight w:val="41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Equality of curve shape, 2023 and 2025, Wald F (4 df)</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New Roman" w:hAnsi="Times New Roman" w:eastAsia="Times New Roman" w:cs="Times New Roman"/>
                <w:i w:val="false"/>
                <w:b w:val="false"/>
                <w:u w:val="none"/>
                <w:strike w:val="false"/>
                <w:sz w:val="18"/>
                <w:szCs w:val="18"/>
                <w:color w:val="000000"/>
              </w:rPr>
            </w:pPr>
            <w:r>
              <w:rPr>
                <w:rFonts w:ascii="Times New Roman" w:hAnsi="Times New Roman" w:eastAsia="Times New Roman" w:cs="Times New Roman"/>
                <w:i w:val="false"/>
                <w:b w:val="false"/>
                <w:u w:val="none"/>
                <w:strike w:val="false"/>
                <w:sz w:val="18"/>
                <w:szCs w:val="18"/>
                <w:color w:val="000000"/>
              </w:rPr>
              <w:t xml:space="preserve">F = 41.8 (p &lt; 0.001)</w:t>
            </w:r>
          </w:p>
        </w:tc>
      </w:tr>
      <w:tr>
        <w:trPr>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Estimates are weighted percentages (95% CI) unless stated otherwise; 24,932, 25,925 and 25,836 households in 2023, 2024 and 2025. Meal-affordability deprivation: household cannot afford a meal with meat, chicken or fish, or a vegetarian equivalent, every second day (HE090 = 2). Exclusion error: share of meal-deprived households (persons) not identified by the threshold.</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Taylor-linearization intervals; the area-level clustering of the survey sample is not identified in the files, so intervals are approximate (design-effect sensitivity in Supplementary Table S8). Year differences and year tests count households matched across survey years (in at least one pair of years) as one cluster; re-interviews that could not be detected are treated as independent. 2023 contains no households from TR63.</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MSD, material and social deprivation; 12 of the 13 Eurostat items (meat item excluded).</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16"/>
                <w:szCs w:val="16"/>
                <w:color w:val="000000"/>
              </w:rPr>
            </w:pPr>
            <w:r>
              <w:rPr>
                <w:rFonts w:ascii="Times New Roman" w:hAnsi="Times New Roman" w:eastAsia="Times New Roman" w:cs="Times New Roman"/>
                <w:i w:val="false"/>
                <w:b w:val="false"/>
                <w:u w:val="none"/>
                <w:strike w:val="false"/>
                <w:sz w:val="16"/>
                <w:szCs w:val="16"/>
                <w:color w:val="000000"/>
              </w:rPr>
              <w:t xml:space="preserve">Income gradient: survey-weighted logistic regression of meal-affordability deprivation on log relative income (restricted cubic spline, five knots at the 5th, 27.5th, 50th, 72.5th and 95th percentiles of pooled 2023–2025 log relative income, i.e., 0.37, 0.69, 1.01, 1.51, 3.31 times the median). Association: Wald test that all four income terms are zero. Departure from linearity: Wald test of the three non-linear terms. Step: indicator for income below the 60% line added to the spline; difference in predicted probability at the line (sensitivity: seven knots, and a piecewise-linear model with a slope change and a jump at the line). Equality of curves: Wald test of the year term and its interactions with the four income terms, 2023 and 2025 pooled; equality of shape: the four interactions only.</w:t>
            </w:r>
          </w:p>
        </w:tc>
      </w:tr>
    </w:tbl>
    <w:sectPr>
      <w:pgMar w:header="708" w:bottom="1152" w:top="1152"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salim</cp:lastModifiedBy>
  <cp:revision>9</cp:revision>
  <dcterms:created xsi:type="dcterms:W3CDTF">2017-02-28T11:18:00Z</dcterms:created>
  <dcterms:modified xsi:type="dcterms:W3CDTF">2026-10-31T20:29:33Z</dcterms:modified>
  <cp:category/>
</cp:coreProperties>
</file>