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S–. Analytic samples of the dietary and health-cost comparisons: numbers, events and crude weighted prevalences by group,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0"/>
        <w:gridCol w:w="956"/>
        <w:gridCol w:w="1003"/>
        <w:gridCol w:w="3096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prevalence, %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Meat &lt;1/week, adults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23.5 (22.6, 24.4)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not poor (reference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(22.2, 24.1)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food insecure,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 (50.9, 54.1)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G3 food insecure and poor (reference in C2)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 (56.5, 60.9)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Fruit &lt;1/day,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 (57.3, 59.1)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not poor (reference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(56.7, 58.6)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food insecure,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 (69.9, 72.5)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G3 food insecure and poor (reference in C2)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76.3 (74.5, 78.2)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Vegetables &lt;1/day,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49.6 (48.7, 50.6)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not poor (reference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 (47.9, 49.9)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food insecure,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 (60.0, 63.0)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G3 food insecure and poor (reference in C2)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 (67.6, 71.7)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Health costs heavy burden,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(5.5, 6.4)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 food secure, not poor (reference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(5.5, 6.5)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G2 food insecure,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(9.8, 11.6)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G3 food insecure and poor (reference in C2)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 (11.5, 14.1)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Unweighted numbers; prevalences weighted (FB030 for adults, HB040 for households); 95% CI from 2,000 household bootstrap replicates (Rao–Wu–Yue), the multiplier matrix shared with the adjusted estimates. The meat outcome excludes 195 vegetarian or vegan adults by definition.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 compares G2 with food-secure adults who are not poor, so its reference is not all of G1. Crude differences and prevalence ratios are the first row of each block in Supplementary Table S16.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2026-10-27T16:58:36Z</dcterms:modified>
  <cp:category/>
</cp:coreProperties>
</file>