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S–. Missing values by variable and analytic sample, n (%).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55"/>
        <w:gridCol w:w="1254"/>
        <w:gridCol w:w="1367"/>
        <w:gridCol w:w="1254"/>
        <w:gridCol w:w="1187"/>
        <w:gridCol w:w="1310"/>
        <w:gridCol w:w="1254"/>
        <w:gridCol w:w="1254"/>
        <w:gridCol w:w="1589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 (n = 24,932)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 (n = 25,925)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(n = 25,836)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main test set (n = 7,861)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Development (2023–2024) (n = 50,857)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 adults (n = 57,899)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 households (n = 25,836)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 and income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Food insecurity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Income features (T1, 11 variables)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Features with missing values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5,239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5,688 (21.9)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5,697 (22.1)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1,681 (21.4)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10,927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Structural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 person has 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Marital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Self-rated health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adults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other features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Other derived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 (not a model feature)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25,925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25,930 (51.0)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By design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work intensity (fixed rule)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5,239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5,688 (21.9)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5,697 (22.1)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1,681 (21.4)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10,927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Structural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Meat, chicken or fish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Vegetarian or vegan (excluded from the meat outcome)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By definition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Fruit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Vegetable or salad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Medical costs a burden (household)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Medicine costs a burden (household)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(adult; reference person for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 (NUTS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Marital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Item nonresponse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illness (adult; number of members for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(adult; number of members for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Unweighted counts of households (H2 samples and H3 households) or adults (H3 adults); –, variable not used in that sample. Development: 2023 and 2024 surveys (training and tuning folds).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Features: LightGBM and the depth-3 trees use missing values natively; ridge, lasso and the multilayer perceptron use median imputation with a missing indicator (numeric) or a missing category (categorical), learned from the training data of each fold and of the final model. Work intensity is undefined for households without working-age members; reference-person characteristics are missing when the reference person has no individual record.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H3: complete cases; the household model uses the highest adult education for the 13 households whose reference person has no individual record, and an unknown category for marital and activity status; 195 vegetarian or vegan adults are excluded from the meat outcome by definition. Households answering that they had no such expenditure (a response category of both health-cost items) are counted as not heavily burdened.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2026-10-27T16:58:30Z</dcterms:modified>
  <cp:category/>
</cp:coreProperties>
</file>