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S–. Characteristics of the development samples, the 2025 main test set and the 2025 households excluded from testing.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8"/>
        <w:gridCol w:w="1778"/>
        <w:gridCol w:w="1778"/>
        <w:gridCol w:w="1391"/>
        <w:gridCol w:w="2350"/>
        <w:gridCol w:w="1048"/>
        <w:gridCol w:w="2211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2023 (development)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2024 (development)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 main test set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2025, matched (excluded from testing)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2025, all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SMD, main test vs development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Households, 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24,932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25,925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7,861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17,975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25,836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Food-insecure households,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Food insecure,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Income poor,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One-person household,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with children,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Member aged ≥65,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size, mean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Relative income, 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of reference person, mean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 reference person,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Tertiary-educated reference person,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Owner-occupier,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Tenant,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Lives in Istanbul (TR10),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Percentages, means and medians weighted (HB040); counts unweighted. Development: 50,857 household-years in 2023 and 2024; 16,946 pairs are matched across the two years (12,924 by member signature, 4,022 by reference-person key), so the development data contain at most 33,911 distinct households. Matched (excluded): 2025 households matched to a 2023 or 2024 household by either method.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SMD, standardized mean difference between the main test set and the pooled development sample (relative income on the log scale); relative income, equivalized disposable income divided by the survey-year median.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Signature-only cleaned test set (sensitivity analysis): 12,241 households (49.1% of weighted households; 40.5% one-person, weighted; food insecure 40.1%, poor 14.7%).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2026-10-27T16:58:31Z</dcterms:modified>
  <cp:category/>
</cp:coreProperties>
</file>