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S10. Discrimination and calibration of the scoring rules in the 2025 test set.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41"/>
        <w:gridCol w:w="1931"/>
        <w:gridCol w:w="1935"/>
        <w:gridCol w:w="1046"/>
        <w:gridCol w:w="1576"/>
        <w:gridCol w:w="1482"/>
        <w:gridCol w:w="1512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PR-AUC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Brier score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Calibration intercept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Calibration slope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AUC, unweighted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All households (main test set)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 (0.846, 0.865)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0.785 (0.769, 0.801)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 (0.806, 0.828)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 (0.722, 0.756)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 (0.871, 0.889)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 (0.801, 0.832)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deprivation items (upper bound)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0.971 (0.967, 0.975)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0.958 (0.951, 0.964)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register-like subset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 (0.796, 0.819)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 (0.698, 0.736)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(splines),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 (0.846, 0.865)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 (0.765, 0.798)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 (0.806, 0.828)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 (0.719, 0.754)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0.768 (0.755, 0.780)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0.641 (0.622, 0.659)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 (0.791, 0.813)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0.662 (0.645, 0.681)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 (0.770, 0.794)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0.647 (0.629, 0.666)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 (0.800, 0.823)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 (0.703, 0.739)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 (0.846, 0.865)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 (0.766, 0.797)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0.805 (0.793, 0.816)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Multilayer perceptron, income + structural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Multilayer perceptron, structural only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Non-poor households (main test set)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 (0.824, 0.848)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0.694 (0.670, 0.718)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 (0.779, 0.805)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 (0.611, 0.661)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 (0.860, 0.880)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 (0.720, 0.767)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 (0.827, 0.850)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0.696 (0.671, 0.720)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 (0.743, 0.773)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0.554 (0.530,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 (0.799, 0.824)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0.611 (0.588, 0.635)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 (0.767, 0.795)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0.607 (0.582, 0.634)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Weighted (HB040) unless stated otherwise; 95% CI from 8,000 household bootstrap replicates. Calibration intercept estimated with the logit of the predicted probability as offset; slope from logistic recalibration.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Brier score and calibration are not defined for the income ranking.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Additional comparison: two-hidden-layer network (PyTorch, Apple MPS), same training and test sets; AUC difference from LightGBM A1 −0.010 (−0.013, −0.006); A2 −0.001 (−0.005, 0.003).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2026-10-27T16:58:33Z</dcterms:modified>
  <cp:category/>
</cp:coreProperties>
</file>