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S12. Transportability of year-specific models across survey years: discrimination, calibration and score drift.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56"/>
        <w:gridCol w:w="707"/>
        <w:gridCol w:w="991"/>
        <w:gridCol w:w="755"/>
        <w:gridCol w:w="707"/>
        <w:gridCol w:w="991"/>
        <w:gridCol w:w="755"/>
        <w:gridCol w:w="707"/>
        <w:gridCol w:w="991"/>
        <w:gridCol w:w="755"/>
        <w:gridCol w:w="707"/>
        <w:gridCol w:w="707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Tested on 2023</w:t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Tested on 2024</w:t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Tested on 2025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 stability index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Slope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Slope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Slope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LightGBM, income + structural (all households)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Trained on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Trained on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Trained on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LightGBM, structural + relative income (non-poor households)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Trained on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Trained on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Trained on 2025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Within the training year: five-fold cross-fitted predictions. Other years: test households not matched to the training year. Intercept and slope: logistic calibration. PSI: distribution of the 2023 model's scores in 2024 and 2025 relative to its 2023 cross-fitted scores (deciles).</w:t>
            </w:r>
          </w:p>
        </w:tc>
      </w:tr>
      <w:tr>
        <w:trPr>
          <w:trHeight w:val="360" w:hRule="auto"/>
        </w:trPr>
        <w:tc>
          <w:tcPr>
            <w:gridSpan w:val="1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Spearman correlation of mean |SHAP| across features between year models (A1): 2023–2024 0.93, 2024–2025 0.88, 2023–2025 0.86.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2026-10-27T16:58:34Z</dcterms:modified>
  <cp:category/>
</cp:coreProperties>
</file>