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S13. Contribution of features and feature groups to LightGBM predictions (TreeSHAP).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211"/>
        <w:gridCol w:w="1211"/>
        <w:gridCol w:w="1211"/>
        <w:gridCol w:w="1211"/>
        <w:gridCol w:w="1211"/>
        <w:gridCol w:w="1211"/>
      </w:tblGrid>
      <w:tr>
        <w:trPr>
          <w:trHeight w:val="410" w:hRule="auto"/>
          <w:tblHeader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 test set (models trained on 2023–2024)</w:t>
            </w:r>
          </w:p>
        </w:tc>
        <w:tc>
          <w:tcPr>
            <w:gridSpan w:val="3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A1 year-specific models</w:t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2025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 group, % of total mean |SHAP|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composition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Housing and assets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Financial strain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Features among the 15 most important in A1 or B1, mean |SHAP| (rank)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Equivalized income relative to median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0.442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0.546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0.479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0.435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0.536 (2)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Household disposable income quintile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0.241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0.197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0.293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0.727 (1)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Region (NUTS 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0.186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0.170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 (3)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 (4)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0.177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 (2)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0.149 (5)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0.164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0.325 (3)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Leaking roof, damp or rot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0.141 (5)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0.127 (4)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0.106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0.161 (5)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0.123 (5)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0.095 (8)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Insufficient insulation for heating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0.100 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0.135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 (6)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Owns a computer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 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0.077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0.093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 (5)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Education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0.092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 (5)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0.086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0.109 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0.063 (11)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Share of income from social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0.085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0.070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0.104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0.097 (7)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Satisfaction with dwelling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0.067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0.105 (7)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 (14)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Highest education among adults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0.082 (8)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 (10)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0.094 (9)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Floor area (m²)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0.069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 (10)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Heating system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0.066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0.038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 (45)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Rent-to-income ratio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 (31)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0.061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 (18)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Self-rated health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0.053 (12)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 (15)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of reference person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0.054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 (22)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Tenure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0.050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 (40)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 (51)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Work intensity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 (27)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 (15)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0.025 (29)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 (24)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0.043 (18)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0.055 (16)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A1: all households, income + structural; B1: non-poor households, structural + relative income; A3: A1 + financial strain. Weighted mean absolute SHAP values on the log-odds scale, averaged over five seeds.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Year-specific models were trained and evaluated within each survey year.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2026-10-27T16:58:35Z</dcterms:modified>
  <cp:category/>
</cp:coreProperties>
</file>