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S14. Non-linearity and interactions: targeting models of increasing functional flexibility, 2025 main test set.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23"/>
        <w:gridCol w:w="961"/>
        <w:gridCol w:w="1959"/>
        <w:gridCol w:w="1719"/>
        <w:gridCol w:w="1479"/>
        <w:gridCol w:w="2248"/>
        <w:gridCol w:w="2008"/>
        <w:gridCol w:w="1527"/>
      </w:tblGrid>
      <w:tr>
        <w:trPr>
          <w:trHeight w:val="410" w:hRule="auto"/>
          <w:tblHeader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Tuning folds</w:t>
            </w:r>
          </w:p>
        </w:tc>
        <w:tc>
          <w:tcPr>
            <w:gridSpan w:val="3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2025 main test set</w:t>
            </w:r>
          </w:p>
        </w:tc>
        <w:tc>
          <w:tcPr>
            <w:gridSpan w:val="3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Difference from the row above (95% CI)</w:t>
            </w:r>
          </w:p>
        </w:tc>
      </w:tr>
      <w:tr>
        <w:trPr>
          <w:trHeight w:val="405" w:hRule="auto"/>
          <w:tblHeader/>
        </w:trPr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CV log-loss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Log-loss (95% CI)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AUC (95% CI)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Sensitivity, % (95% CI)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 log-loss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 AUC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 sensitivity, pp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Income + structural features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Linear terms (ridge logistic)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0.4707 (0.4599, 0.4819)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0.857 (0.847, 0.866)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33.5 (31.7, 35.3)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Smooth main effects (ridge logistic, splines)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0.4721 (0.4616, 0.4829)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0.856 (0.846, 0.865)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33.2 (31.3, 34.9)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0.0015 (−0.0002, 0.0031)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−0.001 (−0.002, 0.001)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−0.3 (−0.8, 0.0)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Boosted main effects, no interactions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0.4650 (0.4545, 0.4757)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0.860 (0.850, 0.869)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33.1 (31.2, 34.9)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−0.0071 (−0.0090, −0.0052)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 (0.002, 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−0.1 (−0.6, 0.5)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Boosted, pairwise interactions (depth-2 trees)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0.4700 (0.4593, 0.4809)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0.854 (0.844, 0.863)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32.8 (30.9, 34.7)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0.0050 (0.0037, 0.0062)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−0.006 (−0.007, −0.005)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−0.3 (−0.7, 0.2)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Boosted, unrestricted interactions (main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0.4685 (0.4574, 0.4798)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0.855 (0.846, 0.865)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33.2 (31.4, 35.1)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−0.0014 (−0.0042, 0.0014)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 (−0.001, 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 (−0.1, 1.0)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Structural features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Linear terms (ridge logistic)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0.5150 (0.5034, 0.5267)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0.817 (0.806, 0.828)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31.8 (30.1, 33.5)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Smooth main effects (ridge logistic, splines)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0.5164 (0.5051, 0.5279)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0.817 (0.806, 0.828)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31.8 (30.2, 33.6)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0.0014 (−0.0003, 0.0031)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 (−0.002, 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(−0.5, 0.6)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Boosted main effects, no interactions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0.5132 (0.5018, 0.5248)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0.818 (0.807, 0.829)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31.9 (30.2, 33.5)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−0.0031 (−0.0047, −0.0015)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 (−0.001, 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(−0.5, 0.5)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Boosted, pairwise interactions (depth-2 trees)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0.5144 (0.5030, 0.5261)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0.815 (0.804, 0.826)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31.2 (29.5, 33.0)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0.0012 (−0.0005, 0.0029)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−0.003 (−0.005, −0.001)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−0.7 (−1.1, −0.1)</w:t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Boosted, unrestricted interactions (main model)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0.5279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0.5125 (0.5007, 0.5245)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0.817 (0.806, 0.828)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31.3 (29.7, 33.2)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−0.0019 (−0.0054, 0.0016)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 (−0.002, 0.006)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(−0.5, 0.9)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All models trained on 2023–2024 with the same features and year-blocked tuning; boosted models are LightGBM with interaction constraints (one feature per tree), depth-2 trees, or the unrestricted main model. Sensitivity at the poverty line's targeting rate. Differences: paired household bootstrap (8,000 replicates); negative Δ log-loss and positive Δ AUC or sensitivity favor the more flexible model. The additive model on structural features selected the lowest learning rate and stopped close to the 30,000-round cap; the best configuration below the cap differed by 0.0001 in tuning-fold log-loss.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Friedman's H statistic for the main income + structural model (400 households drawn with probability proportional to weight; partial dependence on the log-odds scale): strongest pairs Equivalized income relative to median (log) × Region (NUTS 2) 0.049; Region (NUTS 2) × Owns a car 0.024; Equivalized income relative to median (log) × Owns a car 0.023; Equivalized income relative to median (log) × Satisfaction with dwelling 0.022; Equivalized income relative to median (log) × Leaking roof, damp or rot 0.020 (root-mean-square interaction component, log-odds). Overall interaction strength of a feature with all others, H² (share of the prediction variance): Region (NUTS 2) 0.009; Equivalized income relative to median (log) 0.009; Owns a car 0.003.</w:t>
            </w:r>
          </w:p>
        </w:tc>
      </w:tr>
    </w:tbl>
    <w:sectPr>
      <w:pgMar w:header="708" w:bottom="1152" w:top="1152" w:right="1152" w:left="1152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2026-10-27T16:58:35Z</dcterms:modified>
  <cp:category/>
</cp:coreProperties>
</file>