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S15. Sensitivity of the targeting comparison to the definition of the test set, the training period and weighting.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7"/>
        <w:gridCol w:w="973"/>
        <w:gridCol w:w="1266"/>
        <w:gridCol w:w="973"/>
        <w:gridCol w:w="1178"/>
        <w:gridCol w:w="973"/>
        <w:gridCol w:w="1266"/>
        <w:gridCol w:w="973"/>
        <w:gridCol w:w="1266"/>
        <w:gridCol w:w="973"/>
        <w:gridCol w:w="1266"/>
        <w:gridCol w:w="960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Main test set (n = 7,861)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Strict cleaning (n = 6,043)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Signature-only cleaning (n = 12,241)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Full 2025 sample (n = 25,836)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Trained on 2023 only (n = 14,856)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Main test set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Sensitivity, %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Δ, pp (95% CI)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AUC, unweighted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households: sensitivity at the poverty line's targeting rate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Poverty line (60% of median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(−2.5,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 (−2.5,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−0.3 (−1.5,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(−3.3, −1.5)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(−3.6, −1.3)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register-like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 (−2.4,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 (−1.7, 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(−3.6, −1.8)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−3.7 (−4.4, −3.0)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(−0.3,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−0.1 (−0.4,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(−0.1,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(−0.1,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(−0.6, 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 (−0.1,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 (−0.7,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 (−1.5,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(linear),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(2.9,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(2.8,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 (3.1,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(3.2,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 (splines),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(2.4, 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 (2.3,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(2.7,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(3.0, 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 (2.5, 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register-like subset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(−0.3,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(0.2,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(−0.4,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 (0.4,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 (0.6,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 (0.7,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 (2.6, 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 (4.0,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(2.6,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 (2.5, 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 (3.9,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(5.1, 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 (2.8,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(3.8,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 (3.9, 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 (4.5,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 (5.8,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deprivation items (upper bound)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9.0 (7.8, 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(7.5, 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 (7.4, 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10.2 (9.5, 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Non-poor households: sensitivity with 20% of households targeted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Ranking by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−1.5 (−3.5,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 (−3.3,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 (−2.7,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(−4.0, −1.5)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Rule set (depth-3 tree),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−1.5 (−3.4,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(−3.3,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(−2.5, 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−0.8 (−2.0,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Lasso logistic (≤6 variables),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 (−3.3,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−0.8 (−3.2,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 (−2.6,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 (−2.2,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Ridge logistic,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(3.9, 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(3.7, 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(4.3,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 (5.0,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 (−0.7,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(−1.1, 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(4.2, 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 (6.9, 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+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 (3.6, 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(3.4, 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8.1 (6.6, 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9.8 (8.6, 11.0)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LightGBM, + financial strain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 (7.6, 11.5)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 (7.3, 11.5)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11.1 (9.5, 12.5)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 (11.4, 13.8)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 test set: 2025 households not matched to 2023 or 2024 by member signature or reference-person key. Strict cleaning: additionally excludes households whose reference-person key or member signature occurs in 2023 or 2024 at all, including keys shared by several households. Signature-only cleaning: households unmatched by member signature alone (keeps re-interviewed one-person households and households whose composition changed). Full 2025 sample: all households. Trained on 2023 only: models trained on 2023 and tested on 2025 households not matched to 2023; hyperparameters were taken from the main tuning, whose folds include a 2024 training fold (no 2025 data were used).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Δ: paired bootstrap difference in sensitivity from the poverty line at its targeting rate (all households) or from income ranking at the same targeting rate (non-poor households), in the same test set; 95% CI from 8,000 household bootstrap replicates. –, identical to the poverty line by construction.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2026-10-27T16:58:35Z</dcterms:modified>
  <cp:category/>
</cp:coreProperties>
</file>