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0"/>
          <w:szCs w:val="20"/>
          <w:color w:val="000000"/>
        </w:rPr>
        <w:t xml:space="preserve">Table S16. Standardized prevalence of low dietary frequency and heavy health-cost burden among food-insecure, non-poor adults and households, by model specification, 2025.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679"/>
        <w:gridCol w:w="956"/>
        <w:gridCol w:w="1365"/>
        <w:gridCol w:w="823"/>
        <w:gridCol w:w="1956"/>
        <w:gridCol w:w="2143"/>
        <w:gridCol w:w="1903"/>
      </w:tblGrid>
      <w:tr>
        <w:trPr>
          <w:trHeight w:val="415" w:hRule="auto"/>
          <w:tblHeader/>
        </w:trPr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Model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Reference, %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G2, %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Difference, pp (95% CI)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Difference, linearization 95% CI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Prevalence ratio (95% CI)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C1: G2 vs G1 (non-poor) · Meat &lt;1/week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Crude (unadjusted)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45,578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29.4 (27.5, 31.3)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29.4 (27.6, 31.2)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2.27 (2.16, 2.39)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Minimal (age, sex; income in C1)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45,578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22.5 (20.4, 24.7)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22.5 (20.4, 24.6)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1.92 (1.81, 2.04)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Core covariates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45,578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23.1 (21.0, 25.2)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23.1 (20.9, 25.2)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1.95 (1.84, 2.06)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Final (core + selected)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45,578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23.1 (21.0, 25.2)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23.1 (20.9, 25.2)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1.95 (1.84, 2.06)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Fully interacted (main)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45,578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25.5 (22.5, 29.6)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25.5 (22.5, 28.5)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2.04 (1.91, 2.22)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Linear probability (final)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45,578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24.4 (22.3, 26.5)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24.4 (22.3, 26.5)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Overlapping strata 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39,673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25.4 (22.5, 28.4)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25.4 (22.5, 28.4)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2.01 (1.87, 2.14)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C1: G2 vs G1 (non-poor) · Fruit &lt;1/day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Crude (unadjusted)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45,731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57.6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71.2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13.6 (12.0, 15.1)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13.6 (12.0, 15.2)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1.24 (1.21, 1.26)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Minimal (age, sex; income in C1)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45,731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57.9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12.6 (10.7, 14.4)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12.6 (10.8, 14.4)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1.22 (1.18, 1.25)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Core covariates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45,731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57.8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13.0 (11.2, 14.8)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13.0 (11.3, 14.8)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1.23 (1.19, 1.26)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Final (core + selected)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45,731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57.8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13.0 (11.2, 14.8)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13.0 (11.3, 14.8)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1.23 (1.19, 1.26)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Fully interacted (main)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45,731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57.9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14.2 (11.1, 17.0)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14.2 (11.5, 16.8)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1.24 (1.19, 1.29)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Linear probability (final)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45,731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13.0 (11.2, 14.8)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13.0 (11.2, 14.8)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Overlapping strata 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39,811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57.7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71.8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14.1 (11.5, 16.7)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14.1 (11.5, 16.7)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1.24 (1.20, 1.29)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C1: G2 vs G1 (non-poor) · Vegetables &lt;1/day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Crude (unadjusted)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45,731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12.7 (10.9, 14.4)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12.7 (10.9, 14.4)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1.26 (1.22, 1.30)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Minimal (age, sex; income in C1)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45,731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10.0 (7.8, 12.1)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10.0 (8.0, 12.0)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1.20 (1.16, 1.25)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Core covariates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45,731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10.9 (8.7, 12.8)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10.9 (8.9, 12.9)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1.22 (1.18, 1.26)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Final (core + selected)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45,731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10.9 (8.7, 12.8)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10.9 (8.9, 12.9)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1.22 (1.18, 1.26)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Fully interacted (main)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45,731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62.4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13.0 (9.7, 16.7)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13.0 (9.8, 16.2)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1.26 (1.19, 1.34)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Linear probability (final)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45,731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10.9 (8.8, 12.9)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10.9 (8.8, 12.9)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Overlapping strata 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39,811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13.0 (9.9, 16.1)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13.0 (9.9, 16.1)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1.26 (1.20, 1.33)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C2: G2 vs G3 (food insecure) · Meat &lt;1/week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Crude (unadjusted)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58.7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−6.2 (−9.0, −3.5)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−6.2 (−8.9, −3.6)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0.89 (0.85, 0.94)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Minimal (age, sex; income in C1)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52.2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−6.9 (−9.7, −4.2)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−6.9 (−9.6, −4.2)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0.88 (0.84, 0.93)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Core covariates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52.2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−6.9 (−10.0, −3.8)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−6.9 (−9.9, −3.9)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0.88 (0.84, 0.93)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Final (core + selected)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58.5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52.6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−5.9 (−9.0, −2.9)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−5.9 (−8.9, −2.9)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0.90 (0.85, 0.95)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Fully interacted (main)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−6.2 (−9.3, −3.1)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−6.2 (−9.2, −3.1)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0.90 (0.85, 0.95)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Linear probability (final)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−5.9 (−8.9, −2.9)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−5.9 (−8.9, −2.9)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Overlapping strata 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19,954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53.5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−6.4 (−9.4, −3.3)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−6.4 (−9.4, −3.3)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0.89 (0.85, 0.94)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C2: G2 vs G3 (food insecure) · Fruit &lt;1/day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Crude (unadjusted)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21,134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76.3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71.2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−5.1 (−7.3, −2.9)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−5.1 (−7.4, −2.9)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0.93 (0.91, 0.96)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Minimal (age, sex; income in C1)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21,134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75.9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−4.4 (−6.6, −2.1)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−4.4 (−6.6, −2.1)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0.94 (0.91, 0.97)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Core covariates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21,134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74.7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72.2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−2.4 (−4.9, −0.1)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−2.4 (−4.9, 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 (0.94, 1.00)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Final (core + selected)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21,134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74.6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72.3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−2.3 (−4.8, 0.1)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−2.3 (−4.8, 0.2)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 (0.94, 1.00)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Fully interacted (main)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21,134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74.7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72.7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−1.9 (−4.6, 0.7)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−1.9 (−4.5, 0.6)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 (0.94, 1.01)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Linear probability (final)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21,134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−2.4 (−4.9, 0.2)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−2.4 (−4.9, 0.2)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Overlapping strata 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20,053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75.6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72.9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−2.7 (−5.2, −0.2)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−2.7 (−5.2, −0.2)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 (0.93, 1.00)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C2: G2 vs G3 (food insecure) · Vegetables &lt;1/day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Crude (unadjusted)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21,134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69.6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−8.1 (−10.6, −5.5)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−8.1 (−10.6, −5.6)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0.88 (0.85, 0.92)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Minimal (age, sex; income in C1)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21,134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69.3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61.7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−7.6 (−10.1, −5.0)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−7.6 (−10.1, −5.1)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0.89 (0.86, 0.93)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Core covariates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21,134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63.3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−3.5 (−6.3, −0.7)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−3.5 (−6.3, −0.6)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0.95 (0.91, 0.99)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Final (core + selected)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21,134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63.3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−3.3 (−6.2, −0.6)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−3.3 (−6.2, −0.5)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0.95 (0.91, 0.99)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Fully interacted (main)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21,134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63.4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−2.7 (−5.8, 0.3)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−2.7 (−5.6, 0.3)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 (0.92, 1.00)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Linear probability (final)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21,134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−3.3 (−6.2, −0.5)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−3.3 (−6.2, −0.5)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Overlapping strata 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20,053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67.2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63.6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−3.5 (−6.5, −0.6)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−3.5 (−6.5, −0.6)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0.95 (0.91, 0.99)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C1: G2 vs G1 (non-poor) · Health costs heavy burden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Crude (unadjusted)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20,669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4.7 (3.7, 5.7)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4.7 (3.7, 5.7)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1.79 (1.59, 2.00)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Minimal (age, sex; income in C1)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20,669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5.9 (4.6, 7.2)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5.9 (4.7, 7.2)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2.02 (1.77, 2.31)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Core covariates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20,669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6.4 (5.1, 7.8)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6.4 (5.1, 7.8)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2.13 (1.85, 2.43)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Final (core + selected) (main)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20,669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5.8 (4.5, 7.1)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5.8 (4.5, 7.1)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2.00 (1.74, 2.29)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Fully interacted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20,669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7.2 (4.4, 9.9)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7.2 (4.8, 9.6)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2.25 (1.74, 2.76)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Linear probability (final)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20,669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5.5 (4.3, 6.6)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5.5 (4.3, 6.6)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Overlapping strata 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15,491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5.7 (4.3, 7.1)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5.7 (4.3, 7.1)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1.98 (1.69, 2.28)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C2: G2 vs G3 (food insecure) · Health costs heavy burden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Crude (unadjusted)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10,064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−2.1 (−3.7, −0.4)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−2.1 (−3.6, −0.5)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0.84 (0.73, 0.96)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Minimal (age, sex; income in C1)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10,064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−2.1 (−3.7, −0.4)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−2.1 (−3.7, −0.5)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0.84 (0.73, 0.96)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Core covariates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10,064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−4.3 (−6.3, −2.3)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−4.3 (−6.3, −2.4)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0.70 (0.60, 0.82)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Final (core + selected) (main)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10,064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−2.5 (−4.4, −0.7)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−2.5 (−4.3, −0.6)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0.81 (0.70, 0.94)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Fully interacted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10,064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−2.8 (−5.2, −0.7)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−2.8 (−5.0, −0.6)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0.79 (0.67, 0.94)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Linear probability (final)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10,064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−2.5 (−4.3, −0.7)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−2.5 (−4.3, −0.7)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1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Overlapping strata only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8,587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12.0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10.0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−2.0 (−3.9, −0.2)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−2.0 (−3.9, −0.2)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0.83 (0.69, 0.97)</w:t>
            </w:r>
          </w:p>
        </w:tc>
      </w:tr>
      <w:tr>
        <w:trPr>
          <w:trHeight w:val="360" w:hRule="auto"/>
        </w:trPr>
        <w:tc>
          <w:tcPr>
            <w:gridSpan w:val="7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Reference: G1 (food secure, not poor) in C1 and G3 (food insecure and poor) in C2. Standardized by g-computation to the comparison population; weights FB030 (adults) or HB040 (households). Crude: weighted prevalences in the same analytic sample without adjustment or standardization.</w:t>
            </w:r>
          </w:p>
        </w:tc>
      </w:tr>
      <w:tr>
        <w:trPr>
          <w:trHeight w:val="360" w:hRule="auto"/>
        </w:trPr>
        <w:tc>
          <w:tcPr>
            <w:gridSpan w:val="7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95% CI: household bootstrap (Rao–Wu–Yue rescaled bootstrap; 4,000 replicates for the main model, 2,000 otherwise, including the crude rows); linearization CI from influence functions with household clusters.</w:t>
            </w:r>
          </w:p>
        </w:tc>
      </w:tr>
    </w:tbl>
    <w:sectPr>
      <w:pgMar w:header="708" w:bottom="1152" w:top="1152" w:right="1152" w:left="1152" w:footer="708" w:gutter="0"/>
      <w:pgSz w:h="11906" w:w="16838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salim</cp:lastModifiedBy>
  <cp:revision>9</cp:revision>
  <dcterms:created xsi:type="dcterms:W3CDTF">2017-02-28T11:18:00Z</dcterms:created>
  <dcterms:modified xsi:type="dcterms:W3CDTF">2026-10-27T16:58:36Z</dcterms:modified>
  <cp:category/>
</cp:coreProperties>
</file>