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S17. Additional dietary and health-cost estimates: three-group standardization, income gradient among the food insecure, and sensitivity analyses,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3005"/>
        <w:gridCol w:w="1715"/>
        <w:gridCol w:w="1859"/>
        <w:gridCol w:w="2062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Meat, chicken or fish &lt;1/week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Fruit &lt;1/day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Vegetables or salad &lt;1/day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Medical costs a heavy burden (households)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Three groups standardized to all adults (households), no income adjustment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food secure,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 (23.5, 25.3)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58.2 (57.3, 59.0)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50.0 (49.1, 50.9)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 (5.5, 6.3)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food insecure, not poor,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50.9 (49.2, 52.6)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 (70.8, 73.4)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(60.7, 63.9)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(9.8, 11.6)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G3 food insecure and poor,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55.2 (52.7, 57.7)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75.1 (73.1, 77.1)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(64.2, 68.9)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 (12.0, 15.1)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G2 − G1, 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(24.5, 28.4)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 (12.4, 15.4)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 (10.5, 14.1)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 (3.7, 5.9)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G2 − G3, 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 (−7.4, −1.4)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−3.0 (−5.3,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−4.2 (−6.9, −1.4)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−2.9 (−4.7, −1.1)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Position of G2 between G1 (0) and G3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(0.78,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(0.71,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(0.62,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(0.47, 0.83)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(events)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57,704 (19,564)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57,899 (36,725)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57,899 (32,326)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25,836 (2,030)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Food-insecure adults (households) by equivalized income relative to the median,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58.8 (56.5, 61.1)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 (72.8, 76.7)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66.8 (64.5, 69.0)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(11.5, 14.5)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0.6–0.8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 (52.0, 57.4)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73.2 (71.1, 75.3)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 (61.7, 66.4)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(9.1, 12.2)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0.8–1.0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51.1 (48.2, 54.2)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72.9 (70.4, 75.5)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(61.2, 66.8)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 (7.4, 10.5)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1.0–1.5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50.2 (47.3, 53.2)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(67.7, 72.3)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60.9 (58.0, 63.6)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11.9 (10.3, 13.6)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54.2 (48.1, 59.6)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 (67.5, 76.6)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65.3 (60.3, 70.0)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10.8 (7.8, 14.2)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(events)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 (11,263)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 (15,556)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 (13,921)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 (1,158)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Meat &lt;1/week with vegetarian or vegan adults counted as low intake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C1, G2 − G1, pp; prevalence ratio (n = 45,731)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(21.0, 25.2); 1.94 (1.83, 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C2, G2 − G3, pp; prevalence ratio (n = 21,134)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(−9.0, −2.9); 0.90 (0.85, 0.95)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Covariates as in C2 (age, sex, education, region, household size, number of children and covariates selected for C2); income is not adjusted because it defines the groups. Position: (G2 − G1) / (G3 − G1). Estimates with 95% CI from 2,000 household bootstrap replicates.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Unmet medical need due to cost, among adults reporting a need for medical care (few events; minimal model: age, sex; income in C1): C1 0.5 (0.3, 0.7) pp, prevalence ratio 4.92 (3.06, 8.90) (n = 42,128); C2 −1.2 (−1.7, −0.8) pp, prevalence ratio 0.38 (0.27, 0.53) (n = 19,592).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2026-10-27T16:58:37Z</dcterms:modified>
  <cp:category/>
</cp:coreProperties>
</file>