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S18. Simulation S1: optimism of out-of-time performance from households re-interviewed across survey years.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2022"/>
        <w:gridCol w:w="2182"/>
        <w:gridCol w:w="2108"/>
        <w:gridCol w:w="2329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Overlap with the training year, test set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AUC optimism (MCSE)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 optimism, pp (MCSE)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Calibration slope, shared effects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Calibration slope, independent effects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Latent ICC 0.3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30.0%, full 2025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0.0040 (0.0002)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30.0%, unmatched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 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−0.03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full 2025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 (0.0002)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 (0.0004)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unmatched, 10% undetected re-interviews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 (0.0004)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unmatched, 20% undetected re-interviews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0.0033 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unmatched, 35.8% undetected re-interviews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0.0051 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60.0%, full 2025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0.0079 (0.0002)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60.0%, unmatched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 (0.0004)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Latent ICC 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30.0%, full 2025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0.0120 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30.0%, unmatched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 (0.0004)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full 2025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 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2.03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0.0008 (0.0005)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unmatched, 10% undetected re-interviews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 (0.0005)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unmatched, 20% undetected re-interviews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0.0086 (0.0005)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Observed overlap (67.8%), unmatched, 35.8% undetected re-interviews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0.0143 (0.0004)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60.0%, full 2025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0.0235 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1.73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Overlap 60.0%, unmatched households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−0.0001 (0.0005)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−0.04 (0.05)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Optimism: metric when outcomes share the household random effect of the training year minus the same metric with independent effects; MCSE, Monte Carlo standard error. Sensitivity at the poverty line's targeting rate. ICC, intraclass correlation of the latent household effect.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Undetected re-interviews: randomly chosen re-interviewed households evaluated as if unmatched, as a share of the evaluated set; the largest share equals the share of households in the signature-only cleaned test set that the reference-person key identifies as re-interviewed; undetected-overlap rows are shown for the observed overlap only.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2026-10-27T16:58:37Z</dcterms:modified>
  <cp:category/>
</cp:coreProperties>
</file>