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S2. Feature layers used in the targeting models and variables excluded from the feature set.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2477"/>
        <w:gridCol w:w="3108"/>
        <w:gridCol w:w="1471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Type / reason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Register-like subset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T1 Income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log_goreli_gelir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disposable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hane_gelir_dilim5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wages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pay_ucret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self-employment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pay_mutesebbis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pensions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pay_emekli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pay_sosyal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private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pay_ozel_transfer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sosyal_yardim_var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private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ozel_transfer_var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Has rental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kira_geliri_var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Rent-to-income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T2 Structural (no income information)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reis_yas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hane_buyuklugu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(&lt;18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n_cocuk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aged 0–5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n_0_5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Members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n_65plus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Members aged ≥75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n_75plus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(≥18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n_yetiskin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n_kronik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activity limitation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n_gali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in bad or very bad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n_kotu_saglik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with unmet medical need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n_karsilanmayan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n_calisan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n_issiz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n_emekli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Adults in domestic or care 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n_ev_isi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Informally 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n_kayitsiz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Casual (daily-wage) workers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n_yevmiyeli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Temporary employees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n_gecici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adults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calisan_oran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Dependency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bagimli_oran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is_yogunlugu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rooms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Floor area (m²)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Floor area per person (m²)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m2_kisi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 relative to median 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goreli_kira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 (NUTS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HB031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HB050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reis_cinsiyet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Marital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reis_medeni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reis_calisma7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reis_egitim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egitim_max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egitim_min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Self-rated health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reis_saglik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 person has 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reis_kronik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reis_gali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adult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tek_yetiskin_cocuklu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Dwelling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Bath or shower in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Indoor flushing toilet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Separate kitchen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Satisfaction with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HH180_var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Has internet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HH190_var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washing machine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HH200_var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dishwasher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HH220_var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an 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HH230_var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HH240_var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Dwelling too dark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Noise from neighbors or street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Adequate living 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Pollution or other environmental problems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Crime or violence in the 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HS070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Overcrowded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kalabalik_konut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housing deprivation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ciddi_konut_yoksunlugu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T3 Financial strain (self-reported)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rent or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utility bills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installments or loans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total housing costs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ordinal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non-housing debt repayment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 income needed relative to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he050_orani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T4 Deprivation items (upper bound only)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Replaces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Internet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Washing machine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Dishwasher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Air conditioner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internet (cannot afford)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msy_internet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replace worn-out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msy_giysi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two pairs of shoes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msy_ayakkabi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spend small sum on oneself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msy_harclik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no regular leisure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msy_bos_zaman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meet friends or family for a meal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msy_arkadas_aile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 used as features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meat, chicken or fish every second 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msy_et_tavuk_balik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MSD items lacking (0–13)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msy_sayi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13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≥7 of 13 MSD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material deprivation items lacking (0–9)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my_sayi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Material deprivation (≥3 of 9 items)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material deprivation (≥4 of 9 items)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my_4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or social exclusion (AROPE)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yoksulluk_sosyal_dislanma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Contains the outcome (HE090)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yoksul_60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Defines the Model B population; comparison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(70%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yoksul_70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Comparison arm (threshold)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gelir_dilim5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information as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disposable income (TRY)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esdeger_gelir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not comparable across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goreli_esdeger_gelir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information as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ratio, 2024 included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konut_maliyet_orani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Break in HH050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income), 2024 included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konut_maliyet_asiri_yuk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Break in HH050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konut_orani_k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 for all of 2024; not usable with year-blocked training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konut_asiri_k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 for all of 2024; not usable with year-blocked training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relative rent and rent-to-income ratio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HH050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break in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HG110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Nominal TRY; relative income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msy_tatil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msy_beklenmedik_harcama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msy_isinma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Duplicate of HE110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replace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msy_mobilya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Coded from HE120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msy_otomobil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Coded from HH240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kiraci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Collapsed HH020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Self-defined main activity of reference person (FK210)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reis_fk210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Near-duplicate of activity status (V =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decile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gelir_dilim10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Monotone function of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poverty gap (60% threshold)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yoksulluk_acigi_60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Monotone function of relative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arrears on rent, mortgage, bills or installments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msy_borc_odeme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Union of HE010–HE030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 aged ≥65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yasli_var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members aged 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Children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cocuk_var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number of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employed adult in household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calisan_yok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Threshold of employed adults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HB031 (NUTS 2) is used in LightGBM and ridge models; HB030 (NUTS 1) replaces it in the depth-3 trees and lasso models. Ordinal features enter trees as ordered numbers; nominal features enter LightGBM as native categories and other models as indicators.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Register-like subset: survey-measured features of the kind held in population, address, education or social-security registers, used for a restricted rule set; informal employment and work intensity would need linked employment records.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2026-10-27T16:58:30Z</dcterms:modified>
  <cp:category/>
</cp:coreProperties>
</file>