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S20. Simulation S3: bias and coverage of household bootstrap intervals.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87"/>
        <w:gridCol w:w="1485"/>
        <w:gridCol w:w="1086"/>
        <w:gridCol w:w="1504"/>
        <w:gridCol w:w="1886"/>
        <w:gridCol w:w="2088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True value, %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Bias, pp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Empirical SE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Mean bootstrap SE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Coverage, % (MCSE)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Exclusion error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95.8 (0.9)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Rule-set sensitivity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91.0 (1.3)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Rule-set PPV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94.0 (1.1)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percentile intervals from 200 household bootstrap replicates (Rao–Wu–Yue rescaled bootstrap) per simulated sample; MCSE, Monte Carlo standard error. SE, standard error. True value: the value in the pseudo-population, whose outcomes are model-based, so it differs from the observed exclusion error (68.1%).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2026-10-27T16:58:38Z</dcterms:modified>
  <cp:category/>
</cp:coreProperties>
</file>