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S3. Households matched across survey years and composition of the 2025 test sets.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18"/>
        <w:gridCol w:w="1319"/>
        <w:gridCol w:w="1319"/>
        <w:gridCol w:w="1319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2023–2024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2024–2025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2023–2025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Member signature (multi-person households)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Multi-person households, first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21,340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Matched 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7,432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Matched, % of multi-person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Same NUTS 2 region,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Same dwelling type,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Reference-person key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Key matches, one-person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1,152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Key matches, household size changed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2,083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Precision: key matches confirmed by signature,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Recall: signature pairs also matched by the key,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Missed: key shared by several households,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Missed: reference person changed,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Missed: region, dwelling type or tenure changed,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Both methods 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Matched 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10,980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% of first-year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% of second-year households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Signature: sorted birth year, birth month and sex of all members of multi-person households; signatures occurring once in both years were matched (reproduces the data review report). Reference-person key: birth year, birth month and sex of the reference person, NUTS 2 region, dwelling type and tenure, matched when unique in both years; added for pairs not matched by signature. Precision: share of key matches among multi-person households of unchanged size that the signature also matches. Recall: share of signature-matched pairs that the key also matches; the three reasons for a miss sum to 100 minus recall.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Re-interviewed one-person households and households whose composition changed are detectable only through the key, whose recall is 57.8–65.1%; some therefore remain in the main test set. Simulation S1 evaluates undetected shares of 10%, 20% and 35.8% of the test set, and the strict cleaning in Supplementary Table S15 also removes households whose key or signature occurs in an earlier year at all.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2026-10-27T16:58:30Z</dcterms:modified>
  <cp:category/>
</cp:coreProperties>
</file>