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S4. LightGBM hyperparameters selected by year-blocked cross-validation.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7"/>
        <w:gridCol w:w="2027"/>
        <w:gridCol w:w="999"/>
        <w:gridCol w:w="945"/>
        <w:gridCol w:w="999"/>
        <w:gridCol w:w="881"/>
        <w:gridCol w:w="665"/>
        <w:gridCol w:w="715"/>
        <w:gridCol w:w="909"/>
        <w:gridCol w:w="934"/>
        <w:gridCol w:w="797"/>
        <w:gridCol w:w="648"/>
        <w:gridCol w:w="881"/>
        <w:gridCol w:w="921"/>
        <w:gridCol w:w="707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Description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Features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Learning rate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Leaves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Min. data in leaf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Max. depth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Feature fraction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Bagging fraction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λ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b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λ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b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Rounds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CV log-loss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CV AUC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households; income + structural (T1 + T2)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extended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0.5137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households; structural only (T2)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households; T1 + T2 + financial strain (T3)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households; T1 + T2 + T3 + deprivation items (T4), upper bound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Non-poor households; structural +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Non-poor households;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Non-poor households; structural + relative income + 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A2i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households; register-like subset of structural features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focused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360" w:hRule="auto"/>
        </w:trPr>
        <w:tc>
          <w:tcPr>
            <w:gridSpan w:val="1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Search: 60 configurations from a broad space and 60 from a focused space (random search), the five best re-evaluated with three seeds; a further 30-configuration search around the selected configuration when a value lay at a search boundary. Stage: search that produced the selected configuration (focused, focused space or seed re-evaluation; extended, boundary extension).</w:t>
            </w:r>
          </w:p>
        </w:tc>
      </w:tr>
      <w:tr>
        <w:trPr>
          <w:trHeight w:val="360" w:hRule="auto"/>
        </w:trPr>
        <w:tc>
          <w:tcPr>
            <w:gridSpan w:val="1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Folds: train on 2023, validate on 2024 households not matched to 2023, and vice versa; criterion weighted log-loss averaged over folds and seeds; early stopping patience max(100, 2/learning rate).</w:t>
            </w:r>
          </w:p>
        </w:tc>
      </w:tr>
      <w:tr>
        <w:trPr>
          <w:trHeight w:val="360" w:hRule="auto"/>
        </w:trPr>
        <w:tc>
          <w:tcPr>
            <w:gridSpan w:val="1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Ridge logistic C (selected on the folds; halved for the final fit on two years): splines, income + structural 0.001; splines, structural 0.001; splines, non-poor, structural + relative income 0.001; splines, trained 2023 0.001; linear, income + structural 0.0032; linear, structural 0.0032. Rule sets (depth-3 trees): structural, gini, minimum leaf weight 0.02, α = 0; income + structural, gini, minimum leaf weight 0.02, α = 0; register-like, entropy, minimum leaf weight 0.001, α = 0; non-poor, structural, gini, minimum leaf weight 0.05, α = 0; non-poor, structural + relative income, gini, minimum leaf weight 0.05, α = 0; structural, trained 2023, gini, minimum leaf weight 0.02, α = 0.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2026-10-27T16:58:31Z</dcterms:modified>
  <cp:category/>
</cp:coreProperties>
</file>