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S5. Model specification and diagnostics for the dietary and health-cost comparisons (H3),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5"/>
        <w:gridCol w:w="1360"/>
        <w:gridCol w:w="1360"/>
        <w:gridCol w:w="1360"/>
        <w:gridCol w:w="1653"/>
        <w:gridCol w:w="1201"/>
        <w:gridCol w:w="1538"/>
        <w:gridCol w:w="961"/>
        <w:gridCol w:w="925"/>
        <w:gridCol w:w="705"/>
        <w:gridCol w:w="904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Added covariates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Interaction p: region / sex / income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 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Archer–Lemeshow 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Max. calibration gap, pp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 per parameter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DEFF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Bootstrap shift, pp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Meat &lt;1/week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 / 0.349 / 0.006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 / 0.019 / 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 / 0.474 / 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Meat &lt;1/week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 / 0.008 / 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 / 0.005 / 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 / &lt;0.001 / 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Health costs heavy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 / 0.809 / 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(food insecure)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Health costs heavy burden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status, activity limitation, tenure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0.419 / 0.163 / 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 effects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Core covariates: age, sex, education, region (NUTS 1), household size, number of children; C1 additionally relative income (log, natural spline). Household outcome: characteristics of the reference person.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Covariates added when they changed the risk difference by ≥0.5 percentage points or the prevalence ratio by ≥10% (no p-value-based selection). Fully interacted model used when an interaction p &lt; 0.01.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DEFF, design effect of household clustering for the risk difference. Bootstrap shift: largest change in 95% limits between 1,000, 2,000 and 4,000 replicates.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2026-10-27T16:58:31Z</dcterms:modified>
  <cp:category/>
</cp:coreProperties>
</file>