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S7. Food insecurity and exclusion error of the 60% poverty line by household characteristics, 2025.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79"/>
        <w:gridCol w:w="956"/>
        <w:gridCol w:w="2416"/>
        <w:gridCol w:w="2508"/>
        <w:gridCol w:w="2610"/>
        <w:gridCol w:w="2355"/>
      </w:tblGrid>
      <w:tr>
        <w:trPr>
          <w:trHeight w:val="415" w:hRule="auto"/>
          <w:tblHeader/>
        </w:trPr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Food insecure, % (95% CI)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Exclusion error, % (95% CI)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Share of missed households, %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Exclusion error, persons, %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Equivalized income quintile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Q1 (lowest)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74.0 (72.5, 75.4)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57.3 (55.8, 58.9)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96.5 (95.7, 97.3)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95.7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41.9 (40.3, 43.5)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24.0 (22.5, 25.4)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Q5 (highest)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4.6 (3.9, 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Household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One-person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3,768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48.9 (47.1, 50.7)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83.6 (81.9, 85.3)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83.6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Extended family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32.6 (30.1, 35.1)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49.2 (44.6, 53.7)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Other multi-person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30.6 (25.0, 36.2)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75.5 (66.4, 84.5)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Couple without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38.0 (36.5, 39.5)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76.9 (74.9, 78.9)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Couple with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30.8 (29.9, 31.8)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57.5 (55.7, 59.2)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Single parent with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46.9 (44.4, 49.3)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65.4 (62.3, 68.5)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Children in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38.7 (37.8, 39.6)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78.2 (77.1, 79.4)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34.5 (33.5, 35.5)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51.8 (50.1, 53.6)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46.4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Member aged ≥65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34.0 (33.2, 34.7)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66.1 (64.8, 67.4)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45.5 (44.1, 46.9)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72.3 (70.6, 74.1)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Tenure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33.7 (32.8, 34.6)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71.2 (69.9, 72.6)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Tenant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39.6 (38.3, 41.0)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62.6 (60.6, 64.7)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Employer-provided 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13.9 (8.5, 19.3)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88.9 (78.6, 99.2)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Rent-free (non-owner)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3,964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45.0 (43.2, 46.8)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68.1 (65.7,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Employed adult in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57.0 (55.7, 58.3)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(65.7, 68.8)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29.4 (28.6, 30.1)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68.7 (67.3, 70.1)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Work intensity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working-age member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52.7 (51.3, 54.2)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77.6 (76.0, 79.2)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Very low (&lt;0.20)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58.7 (56.5, 60.9)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46.1 (43.1, 49.1)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(0.20–0.45)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49.5 (47.0, 52.0)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41.6 (38.1, 45.0)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Medium (0.45–0.55)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35.0 (33.6, 36.5)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64.4 (62.1, 66.8)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 (0.55–0.85)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24.1 (22.3, 25.9)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82.3 (79.3, 85.3)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Very high (≥0.85)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20.5 (19.3, 21.6)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86.8 (84.9, 88.7)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Activity status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Employed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14,687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28.6 (27.8, 29.5)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69.3 (67.8, 70.9)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Retired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38.8 (37.3, 40.3)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75.9 (74.0, 77.9)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57.2 (55.7, 58.8)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60.9 (59.0, 62.8)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Region (NUTS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Istanbul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31.7 (29.7, 33.7)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85.4 (82.6, 88.1)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West Marmara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37.5 (35.0, 40.0)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74.5 (70.8, 78.1)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Aegean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33.8 (32.1, 35.4)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72.5 (69.8, 75.2)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East Marmara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27.2 (25.2, 29.1)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83.3 (80.1, 86.4)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West Anatolia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31.1 (29.0, 33.1)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76.8 (73.5, 80.1)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43.2 (41.2, 45.2)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65.2 (62.3, 68.2)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Central Anatolia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37.9 (35.3, 40.5)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64.7 (60.4, 68.9)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West Black 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41.0 (38.8, 43.3)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71.5 (68.2, 74.9)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East Black 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48.8 (45.3, 52.3)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73.4 (69.1, 77.6)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68.6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Northeast Anatolia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42.7 (40.2, 45.2)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40.0 (36.2, 43.8)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Central East Anatolia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44.6 (41.9, 47.3)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39.9 (35.9, 43.9)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30.4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Southeast Anatolia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2,735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52.8 (50.6, 55.0)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34.9 (32.1, 37.7)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26.4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n, unweighted number of households; percentages and prevalences weighted. Exclusion error: % of food-insecure households not poor. Share of missed households: distribution of food-insecure, non-poor households across categories.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20–50 food-insecure households in the cell; –, fewer than 20 (not shown).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Determined by construction: all households in the category lie on the same side of the poverty line.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2026-10-27T16:58:32Z</dcterms:modified>
  <cp:category/>
</cp:coreProperties>
</file>