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S9. Univariable association of features with food insecurity (ten strongest per layer) and multivariable comparison of feature layers.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384"/>
        <w:gridCol w:w="992"/>
        <w:gridCol w:w="1384"/>
        <w:gridCol w:w="992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All households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Non-poor households</w:t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McFadden R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 2025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McFadden R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 2025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T1 Income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income relative to median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income decile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disposable income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cost-to-income ratio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Relative poverty gap (60% threshold)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 risk of poverty (50% threshold)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income from social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Receives social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cost overburden (≥40% of income)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income from pensions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T2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Lowest education among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computer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Heating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Work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Leaking roof, damp or rot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Insufficient insulation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T3 Financial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Ability to make ends meet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arrears on rent, mortgage, bills or installments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Arrears on utility bills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Arrears on installments or 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Minimum income needed relative to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Burden of total housing costs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Burden of non-housing debt repayment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Arrears on rent or mortgage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T4 Deprivation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MSD items lacking, meat item excluded (0–12)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 one-week holiday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afford one-week holiday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face unexpected expenses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face unexpected expenses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Replaces worn-out furniture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replace worn-out furniture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keep home adequately warm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keep home adequately warm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Personal: cannot replace worn-out 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Layer combinations (main-effects logistic, trained 2023, tested 2025)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+ 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+ T2 + 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+ T2 + T3 + 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 + T3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Univariable: weighted logistic regression per survey year (numeric features as 3-df natural splines); McFadden 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averaged over 2023–2025; weighted AUC in 2025. Exploratory output used to assign layers; not a test.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Layer combinations: McFadden 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in the 2023 training data and weighted AUC in 2025.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Screened candidate not used as a model feature (Supplementary Table S2).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2026-10-27T16:58:33Z</dcterms:modified>
  <cp:category/>
</cp:coreProperties>
</file>