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S–. Missing values by variable and analytic sample, n (%).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55"/>
        <w:gridCol w:w="1254"/>
        <w:gridCol w:w="1367"/>
        <w:gridCol w:w="1254"/>
        <w:gridCol w:w="1187"/>
        <w:gridCol w:w="1310"/>
        <w:gridCol w:w="1254"/>
        <w:gridCol w:w="1254"/>
        <w:gridCol w:w="1589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2023 (n = 24,932)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2024 (n = 25,925)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2025 (n = 25,836)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2025 main test set (n = 7,861)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Development (2023–2024) (n = 50,857)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H3 adults (n = 57,899)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H3 households (n = 25,836)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Missingness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 and income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Meal-affordability deprivation (HE090)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Income features (T1, 11 variables)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Features with missing values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Work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5,239 (21.0)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5,688 (21.9)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5,697 (22.1)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1,681 (21.4)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10,927 (21.5)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Structural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Activity status of reference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Item nonresponse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 of reference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Item nonresponse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Activity limitation of reference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Item nonresponse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 person has chronic illness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Item nonresponse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Marital status of reference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Item nonresponse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Self-rated health of reference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Item nonresponse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 of adults 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(&lt;0.01)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Item nonresponse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Highest education among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(&lt;0.01)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Item nonresponse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Lowest education among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(&lt;0.01)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Item nonresponse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other features (73)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Other derived variables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Housing cost-to-income ratio (not a model feature)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25,925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25,930 (51.0)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By design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Very low work intensity (fixed rule)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5,239 (21.0)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5,688 (21.9)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5,697 (22.1)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1,681 (21.4)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10,927 (21.5)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Structural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H3 outcomes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Vegetarian or vegan (excluded from the meat outcome)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By definition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 or salad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Medical costs a burden (household)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Medicine costs a burden (household)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H3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(adult; reference person for households)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Item nonresponse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 (NUTS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Number of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Item nonresponse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Activity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Item nonresponse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Chronic illness (adult; number of members for households)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Activity limitation (adult; number of members for households)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Tenure status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–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Unweighted counts of households (H2 samples and H3 households) or adults (H3 adults); –, variable not used in that sample. Development: 2023 and 2024 surveys (training and tuning folds).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Features: LightGBM and the depth-3 trees use missing values natively; ridge, lasso and the multilayer perceptron use median imputation with a missing indicator (numeric) or a missing category (categorical), learned from the training data of each fold and of the final model. Work intensity is undefined for households without working-age members; reference-person characteristics are missing when the reference person has no individual record.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H3: complete cases; the household model uses the highest adult education for the 13 households whose reference person has no individual record, and an unknown category for marital and activity status; 195 vegetarian or vegan adults are excluded from the meat outcome by definition. Households answering that they had no such expenditure (a response category of both health-cost items) are counted as not heavily burdened.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2026-10-31T20:29:35Z</dcterms:modified>
  <cp:category/>
</cp:coreProperties>
</file>