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S–. Characteristics of the development samples, the 2025 main test set and the 2025 households excluded from testing.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68"/>
        <w:gridCol w:w="1651"/>
        <w:gridCol w:w="1651"/>
        <w:gridCol w:w="1091"/>
        <w:gridCol w:w="1707"/>
        <w:gridCol w:w="1697"/>
        <w:gridCol w:w="995"/>
        <w:gridCol w:w="1764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2023 (development)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2024 (development)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 main test set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 main test set, calibrated weights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2025, matched (excluded from testing)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2025, all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SMD, main test vs development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Households, 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24,932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25,925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7,861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17,975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25,836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Meal-deprived households,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Meal-deprived,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poor,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One-person household,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with children,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Member aged ≥65,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size, 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Relative income,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of reference person, 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 reference person,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Tertiary-educated reference person,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Owner-occupier,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Tenant,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Leaking roof, damp or rot,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−0.06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Lives in Istanbul (TR10),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Percentages, means and medians weighted (HB040); counts unweighted. Development: 50,857 household-years in 2023 and 2024; 16,946 pairs are matched across the two years (12,924 by member signature, 4,022 by reference-person key), so the development data contain at most 33,911 distinct households. Matched (excluded): 2025 households matched to a 2023 or 2024 household by either method.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SMD, standardized mean difference between the main test set and the pooled development sample (relative income on the log scale); relative income, equivalized disposable income divided by the survey-year median.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Signature-only cleaned test set (sensitivity analysis): 12,241 households (49.1% of weighted households; 40.5% one-person, weighted; meal-deprived 40.1%, poor 14.7%).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2026-10-31T20:29:36Z</dcterms:modified>
  <cp:category/>
</cp:coreProperties>
</file>