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S–. Design effect at which the 95% confidence interval of each principal contrast would include zero, and intervals under design effects of 2 and 3.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98"/>
        <w:gridCol w:w="2255"/>
        <w:gridCol w:w="956"/>
        <w:gridCol w:w="1106"/>
        <w:gridCol w:w="2255"/>
        <w:gridCol w:w="2255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 (95% CI)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Design effect at which the 95% CI includes zero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 CI, design effect 2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 CI, design effect 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H1: differences between 2025 and 2023, households matched across survey years as clusters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Exclusion error of the 60% line, households,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(−3.7, −0.9)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(−4.2, −0.4)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(−4.7, 0.1)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Exclusion error of the 60% line, persons,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−5.7 (−7.5, −3.8)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−5.7 (−8.2, −3.1)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−5.7 (−8.8, −2.5)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Prevalence of meal-affordability deprivation, persons,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−4.1 (−5.1, −3.0)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−4.1 (−5.5, −2.6)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−4.1 (−5.9, −2.3)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curve at 0.6 times the median,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 (3.1,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 (2.3,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 (1.7, 8.5)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curve at 2.0 times the median,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−7.3 (−8.7, −5.9)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−7.3 (−9.2, −5.3)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−7.3 (−9.7, −4.9)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Erreygers concentration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−0.092 (−0.112, −0.072)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−0.092 (−0.120, −0.064)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−0.092 (−0.126, −0.058)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H2: paired differences at the poverty line's targeting rate, 2025 main test set (bootstrap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Rule set (depth-3 tree),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(−2.5,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(−3.2,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(−3.7, 1.8)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Rule set (depth-3 tree), register-like,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−1.3 (−2.4, −0.2)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−1.3 (−2.9,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−1.3 (−3.3, 0.7)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Lasso logistic (≤6 variables),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(−1.6, 3.2)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Rule set (depth-3 tree), income +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(−0.3,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(−0.4,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(−0.5, 0.5)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Lasso logistic (≤6 variables), income +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(2.2,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(1.9, 5.3)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Ridge logistic (linear), income +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(2.9,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(2.4,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(2.1, 5.6)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Ridge logistic (splines), income +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(2.0,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(1.7, 5.5)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LightGBM, register-like subset,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(−0.3,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(−0.8,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(−1.1, 3.1)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LightGBM, structural only,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(0.0,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(−0.4, 3.8)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LightGBM, income +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(2.1,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(1.8, 5.5)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Δ sensitivity from the poverty line, LightGBM, + financial strain,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 (3.8,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 (3.3,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 (3.0, 6.8)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Children: lasso − LightGBM, income + structural,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 (3.2,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 (2.2,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6.4 (1.3, 11.5)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contribution of income, LightGBM (income + structural − structural only),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(0.7,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(0.5, 3.4)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contribution of income, ridge logistic (linear),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 (0.3, 3.0)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H3: standardized differences, 2025 (bootstrap 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(non-poor), Meat &lt;1/week,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 (22.5, 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 (20.5, 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25.5 (19.4, 31.5)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(non-poor), Fruit &lt;1/day,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 (11.1, 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 (10.0, 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 (9.0, 19.3)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(non-poor), Vegetables &lt;1/day,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(9.7,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(8.1, 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(6.9, 19.1)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C1: G2 vs G1 (non-poor), Health costs heavy burden,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(4.5,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(4.0,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(3.5, 8.1)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C2: G2 vs G3 (meal-deprived), Meat &lt;1/week,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−6.2 (−9.3, −3.1)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−6.2 (−10.6, −1.8)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−6.2 (−11.6, −0.8)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Three groups standardized to all adults (households): G2 − G3, Meat &lt;1/week,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−4.3 (−7.4, −1.4)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−4.3 (−8.5, −0.1)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−4.3 (−9.4, 0.8)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Three groups standardized to all adults (households): G2 − G3, Fruit &lt;1/day,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−3.0 (−5.3, −0.7)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−3.0 (−6.3,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−3.0 (−7.0, 1.1)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Three groups standardized to all adults (households): G2 − G3, Vegetables &lt;1/day, 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−4.2 (−6.9, −1.4)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−4.2 (−8.1, −0.3)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−4.2 (−8.9, 0.6)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Three groups standardized to all adults (households): G2 − G3, Health costs heavy burden, pp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−2.9 (−4.7, −1.1)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−2.9 (−5.5, −0.3)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−2.9 (−6.1, 0.3)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released files contain no stratum, primary-sampling-unit, rotation-group or replicate-weight variables, so the design effect of the area-level clustering cannot be estimated. Design effect at which the interval includes zero: k* = (|estimate| / (1.96 × SE))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; an interval computed with the variance multiplied by k* just reaches zero. Intervals under design effects of 2 and 3: estimate ± 1.96 × SE × √k. These are sensitivity values, not design-based variance estimates.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SE: linearization (H1, households matched across survey years as clusters) or standard deviation of the household bootstrap replicates (H2, 8,000 replicates; H3, 4,000 replicates for the main models and 2,000 for the three-group standardization); the 95% CI in the second column is the main-analysis interval (percentile interval for bootstrap estimates).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The 95% CI already includes zero.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2026-10-31T20:29:46Z</dcterms:modified>
  <cp:category/>
</cp:coreProperties>
</file>