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S–. Additional meal-deprived households and children reached at the poverty line's caseload, 2025 population (thousands).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2"/>
        <w:gridCol w:w="1715"/>
        <w:gridCol w:w="1760"/>
        <w:gridCol w:w="1985"/>
        <w:gridCol w:w="2255"/>
      </w:tblGrid>
      <w:tr>
        <w:trPr>
          <w:trHeight w:val="410" w:hRule="auto"/>
          <w:tblHeader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Meal-deprived households</w:t>
            </w:r>
          </w:p>
        </w:tc>
        <w:tc>
          <w:tcPr>
            <w:gridSpan w:val="2"/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Children living in meal-deprived households</w:t>
            </w:r>
          </w:p>
        </w:tc>
      </w:tr>
      <w:tr>
        <w:trPr>
          <w:trHeight w:val="405" w:hRule="auto"/>
          <w:tblHeader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sensitivity, pp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Additional households reached, thousands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Δ children, pp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Additional children reached, thousands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Sparse rules, structural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−1.8 (−3.3, −0.2)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−177 (−328, −19)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−25.3 (−29.6, −20.8)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−2,145 (−2,508, −1,767)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register-like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−1.5 (−2.7, −0.3)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−154 (−274, −30)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−26.8 (−30.6, −22.9)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−2,274 (−2,593, −1,945)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 (−1.0, 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(−103, 175)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−24.6 (−28.9, −20.2)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−2,082 (−2,447, −1,712)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Sparse rules,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Rule set (depth-3 tree),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−0.1 (−0.4,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 (−38, 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−0.2 (−1.1,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−17 (−95, 69)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Lasso logistic (≤6 variables),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(2.8,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375 (278, 486)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−2.8 (−5.9,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−233 (−497, 34)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Prediction models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 (linear),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 (2.8, 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397 (283, 508)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−8.8 (−12.4, −5.0)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−742 (−1,049, −424)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Ridge logistic (splines),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(2.2,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331 (224, 461)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−9.9 (−13.7, −5.9)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−835 (−1,164, −503)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register-like subset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 (−0.5, 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(−51, 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−10.9 (−14.9, −6.9)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−921 (−1,260, −587)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 (0.2, 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(17, 275)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−14.4 (−18.3, −10.0)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−1,219 (−1,551, −845)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 (2.5,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369 (251, 485)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−8.8 (−12.6, −5.3)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−744 (−1,068, −450)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+ financial strain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4.8 (3.7, 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480 (367, 607)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−10.4 (−14.4, −6.4)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−882 (−1,222, −540)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Multilayer perceptron, income + structural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 (2.1,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 (213, 452)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−10.7 (−14.3, −6.8)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−903 (−1,211, −575)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Multilayer perceptron, structural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 (0.8,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(77, 336)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−13.9 (−17.9, −9.7)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−1,178 (−1,521, −825)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LightGBM, upper bound: + other deprivation items (same battery as the outcome)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9.5 (8.3, 10.7)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953 (832, 1,079)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−23.7 (−27.7, −20.3)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−2,010 (−2,350, −1,717)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Differences from the poverty line at its targeting rate in the main test set calibrated to the 2025 household population (95% CI, paired household bootstrap, 8,000 replicates with raking repeated in each), multiplied by the weighted number of meal-deprived households in 2025 (10.05 million, HB040) or of children living in them (8.48 million, FK050): households (children) reached when the same number of households is selected.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Scale: the poverty line selects 4.35 million households and misses 6.84 million meal-deprived households in 2025; its calibrated sensitivity is 31.5% and it reaches 61.9% of the children living in meal-deprived households. The population totals are treated as fixed. Upper bound: model with the other deprivation items of the same battery as the outcome.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2026-10-31T20:29:43Z</dcterms:modified>
  <cp:category/>
</cp:coreProperties>
</file>