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S10. Discrimination and calibration of the scoring rules in the 2025 test set.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05"/>
        <w:gridCol w:w="1931"/>
        <w:gridCol w:w="1931"/>
        <w:gridCol w:w="884"/>
        <w:gridCol w:w="1317"/>
        <w:gridCol w:w="1317"/>
        <w:gridCol w:w="1338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PR-AUC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Brier score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Calibration intercept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Calibration slope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AUC, unweighted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All households (main test set)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 (0.846, 0.865)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0.785 (0.769, 0.801)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structural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 (0.806, 0.828)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 (0.722, 0.756)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+ financial strain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0.880 (0.871, 0.889)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 (0.801, 0.832)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upper bound: + other deprivation items (same battery as the outcome)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0.971 (0.967, 0.975)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 (0.951, 0.964)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register-like subset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 (0.796, 0.819)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 (0.698, 0.736)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 (splines),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 (0.846, 0.865)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 (0.765, 0.798)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logistic, structural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 (0.806, 0.828)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 (0.719, 0.754)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0.768 (0.755, 0.780)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0.641 (0.622, 0.659)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 (0.791, 0.813)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0.662 (0.645, 0.681)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register-like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 (0.770, 0.794)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 (0.629, 0.666)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Lasso logistic (≤6 variables),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 (0.800, 0.823)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0.721 (0.703, 0.739)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Lasso logistic (≤6 variables),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 (0.846, 0.865)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 (0.766, 0.797)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Ranking by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 (0.793, 0.816)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Multilayer perceptron, income + structural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Multilayer perceptron, structural only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Non-poor households (main test set)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structural +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0.836 (0.824, 0.848)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 (0.670, 0.718)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structural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 (0.779, 0.805)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0.636 (0.611, 0.661)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+ financial strain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 (0.860, 0.880)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 (0.720, 0.767)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logistic, structural +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 (0.827, 0.850)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 (0.671, 0.720)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 (0.743, 0.773)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0.554 (0.530, 0.578)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 +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 (0.799, 0.824)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 (0.588, 0.635)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Lasso logistic (≤6 variables), structural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 (0.767, 0.795)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 (0.582, 0.634)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Weighted (HB040) unless stated otherwise; 95% CI from 8,000 household bootstrap replicates. Calibration intercept estimated with the logit of the predicted probability as offset; slope from logistic recalibration.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Brier score and calibration are not defined for the income ranking.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Additional comparison: two-hidden-layer network (PyTorch, Apple MPS), same training and test sets; AUC difference from LightGBM A1 −0.010 (−0.013, −0.006); A2 −0.001 (−0.005, 0.003).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2026-10-31T20:29:39Z</dcterms:modified>
  <cp:category/>
</cp:coreProperties>
</file>