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S17. Additional consumption-frequency and health-cost estimates: three-group standardization, income gradient among the meal-deprived, and sensitivity analyses, 2025.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84"/>
        <w:gridCol w:w="3005"/>
        <w:gridCol w:w="1715"/>
        <w:gridCol w:w="1859"/>
        <w:gridCol w:w="2062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Meat, chicken or fish &lt;1/week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Fruit &lt;1/day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Vegetables or salad &lt;1/day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Medical costs a heavy burden (households)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Three groups standardized to all adults (households), no income adjustment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G1 not meal-deprived,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24.4 (23.5, 25.3)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58.2 (57.3, 59.0)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50.0 (49.1, 50.9)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 (5.5, 6.3)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G2 meal-deprived, not poor,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50.9 (49.2, 52.6)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 (70.8, 73.4)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 (60.7, 63.9)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 (9.8, 11.6)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G3 meal-deprived and poor,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55.2 (52.7, 57.7)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75.1 (73.1, 77.1)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(64.2, 68.9)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 (12.0, 15.1)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G2 − G1, 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 (24.5, 28.4)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 (12.4, 15.4)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12.3 (10.5, 14.1)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4.8 (3.7, 5.9)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G2 − G3, 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−4.3 (−7.4, −1.4)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−3.0 (−5.3, −0.7)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−4.2 (−6.9, −1.4)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−2.9 (−4.7, −1.1)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Position of G2 between G1 (0) and G3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(0.78,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(0.71,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(0.62,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(0.47, 0.83)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(events)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57,704 (19,564)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57,899 (36,725)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57,899 (32,326)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25,836 (2,030)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Meal-deprived adults (households) by equivalized income relative to the median,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58.8 (56.5, 61.1)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 (72.8, 76.7)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66.8 (64.5, 69.0)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(11.5, 14.5)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0.6–0.8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 (52.0, 57.4)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73.2 (71.1, 75.3)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 (61.7, 66.4)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(9.1, 12.2)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0.8–1.0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51.1 (48.2, 54.2)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72.9 (70.4, 75.5)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(61.2, 66.8)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9.0 (7.4, 10.5)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1.0–1.5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50.2 (47.3, 53.2)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(67.7, 72.3)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60.9 (58.0, 63.6)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11.9 (10.3, 13.6)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54.2 (48.1, 59.6)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72.3 (67.5, 76.6)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65.3 (60.3, 70.0)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10.8 (7.8, 14.2)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(events)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21,024 (11,263)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 (15,556)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 (13,921)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 (1,158)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Meat &lt;1/week with vegetarian or vegan adults counted as low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C1, G2 − G1, pp; prevalence ratio (n = 45,731)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 (21.0, 25.2); 1.94 (1.83, 2.05)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C2, G2 − G3, pp; prevalence ratio (n = 21,134)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−5.9 (−9.0, −2.9); 0.90 (0.85, 0.95)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Covariates as in C2 (age, sex, education, region, household size, number of children and covariates selected for C2); income is not adjusted because it defines the groups. Position: (G2 − G1) / (G3 − G1). Estimates with 95% CI from 2,000 household bootstrap replicates.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Unmet medical need due to cost, among adults reporting a need for medical care (few events; minimal model: age, sex; income in C1): C1 0.5 (0.3, 0.7) pp, prevalence ratio 4.92 (3.06, 8.90) (n = 42,128); C2 −1.2 (−1.7, −0.8) pp, prevalence ratio 0.38 (0.27, 0.53) (n = 19,592).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2026-10-31T20:29:44Z</dcterms:modified>
  <cp:category/>
</cp:coreProperties>
</file>