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S19. Simulation S2: exclusion error and targeting performance under misclassification of the meal item, by design of the misclassification.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1148"/>
        <w:gridCol w:w="1203"/>
        <w:gridCol w:w="945"/>
        <w:gridCol w:w="799"/>
        <w:gridCol w:w="1150"/>
        <w:gridCol w:w="799"/>
        <w:gridCol w:w="1150"/>
        <w:gridCol w:w="1447"/>
      </w:tblGrid>
      <w:tr>
        <w:trPr>
          <w:trHeight w:val="410" w:hRule="auto"/>
          <w:tblHeader/>
        </w:trPr>
        <w:tc>
          <w:tcPr>
            <w:gridSpan w:val="2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Exclusion error, % (closed form)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Design A: difference from the poverty line, pp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Design B: difference from the poverty line, pp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Households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Persons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LightGBM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LightGBM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Compatible design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Non-differential misclassification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Income-differential misclassification (specificity 5 pp lower in income quintiles 1–2)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Exclusion error: share of meal-deprived households (persons) that are not income poor, implied by sensitivity (Se), specificity (Sp) and the observed prevalences in cells of equivalized income quintile × poverty status (closed form; the same under both designs). Differences: sensitivity at the poverty line's targeting rate minus that of the poverty line in the 2025 main test set, mean of 200 simulated assignments of true status; rule set, depth-3 tree on structural features; LightGBM, income + structural features; observed −0.9 and 3.6 pp.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Design A: Se and Sp hold within each cell, and true status is assigned by Bayes' rule from the cell's observed prevalence, so within a cell it depends on household characteristics only through the observed item. Design B: Se and Sp hold for every household, and true status is assigned from each household's calibrated probability of reporting meal-affordability deprivation (out-of-time LightGBM score recalibrated on 2025 households with cell indicators and a restricted cubic spline of its logit).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Compatible with the observed data: A, every cell's observed prevalence lies within [1 − Sp, Se] (Sp ≥ 0.954, Se ≥ 0.740); B, fewer than 1% of households (weighted) have a calibrated probability outside [1 − Sp, Se], and these were truncated (Sp ≥ 0.999, Se ≥ 0.973). In deciles of LightGBM risk the lowest decile has an observed prevalence of 0.5%, which requires Sp ≥ 0.995 (0.993 allowing for two standard errors). † Compatible with neither design; closed form only; –, not simulated.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Rows with Sp 0.999–1.000 and Se 0.98–1.00 were added because no scenario of the original grid (Sp 0.90–0.99, Se 0.80–0.95) was compatible with design B; Sp 0.92 and 0.94 are compatible with neither design.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No misclassification; reproduces the observed values.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2026-10-31T20:29:46Z</dcterms:modified>
  <cp:category/>
</cp:coreProperties>
</file>