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S2. Feature layers used in the targeting models and variables excluded from the feature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2477"/>
        <w:gridCol w:w="3108"/>
        <w:gridCol w:w="1471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Type / reason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Register-like subset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T1 Income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log_goreli_gelir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disposable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hane_gelir_dilim5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pay_ucret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self-employment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pay_mutesebbis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pensions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pay_emekli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pay_sosyal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private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pay_ozel_transfer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sosyal_yardim_var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private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ozel_transfer_var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Has rental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kira_geliri_var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Rent-to-income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kira_orani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T2 Structural (no income information)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reis_yas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hane_buyuklugu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(&lt;18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n_cocuk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aged 0–5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n_0_5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Members aged 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n_65plus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Members aged ≥75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n_75plus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(≥18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n_yetiskin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with 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n_kronik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with activity limitation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n_gali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in bad or very bad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n_kotu_saglik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with unmet medical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n_karsilanmayan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n_calisan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n_issiz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Retired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n_emekli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in domestic or care 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n_ev_isi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Informally 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n_kayitsiz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Casual (daily-wage) workers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n_yevmiyeli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Temporary employees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n_gecici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adults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calisan_oran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Dependency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bagimli_oran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is_yogunlugu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rooms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Floor area (m²)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Floor area per person (m²)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m2_kisi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 relative to median 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goreli_kira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 (NUTS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HB031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HB050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reis_cinsiyet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Marital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reis_medeni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reis_calisma7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reis_egitim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egitim_max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egitim_min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Self-rated health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reis_saglik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 person has 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reis_kronik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limitation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reis_gali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 adult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tek_yetiskin_cocuklu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Dwelling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Bath or shower in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Indoor flushing toilet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Separate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Satisfaction with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HH180_var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Has internet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HH190_var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washing machine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HH200_var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dishwasher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HH220_var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an air conditioner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HH230_var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HH240_var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Dwelling too dark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Noise from neighbors or street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Adequate living 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Pollution or other environmental 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Crime or violence in the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Overcrowded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kalabalik_konut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Severe housing deprivation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ciddi_konut_yoksunlugu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T3 Financial strain (self-reported)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rent or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utility bills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installments or loans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total housing costs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non-housing debt repayment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 income needed relative to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he050_orani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T4 Other deprivation items, same battery as the outcome (upper bound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afford one-week holiday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face unexpected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keep home adequately warm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Replaces worn-out furniture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Internet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Washing machine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Dishwasher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Air conditioner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no internet (cannot afford)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msy_internet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replace worn-out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msy_giysi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no two pairs of shoes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msy_ayakkabi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spend small sum on oneself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msy_harclik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no regular leisure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msy_bos_zaman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meet friends or family for a 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msy_arkadas_aile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 used as features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meat, chicken or fish every second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msy_et_tavuk_balik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MSD items lacking (0–13)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msy_sayi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≥5 of 13 MSD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≥7 of 13 MSD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material deprivation items lacking (0–9)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my_sayi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Material deprivation (≥3 of 9 items)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Severe material deprivation (≥4 of 9 items)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or social exclusion (AROPE)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yoksulluk_sosyal_dislanma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yoksul_60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Defines the Model B population; comparison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(70%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yoksul_70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Comparison arm (threshold)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gelir_dilim5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Same information as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disposable income (TRY)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esdeger_gelir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not comparable across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goreli_esdeger_gelir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Same information as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ratio, 2024 included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konut_maliyet_orani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Break in HH050 in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 overburden (≥40% of income), 2024 included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konut_maliyet_asiri_yuk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Break in HH050 in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konut_orani_k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 for all of 2024; not usable with year-blocked training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 overburden (≥40% of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konut_asiri_k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 for all of 2024; not usable with year-blocked training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relative rent and rent-to-income ratio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break in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relative income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one-week holiday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msy_tatil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Duplicate of HE080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face unexpected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msy_beklenmedik_harcama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Duplicate of HE100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keep home adequately warm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msy_isinma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Duplicate of HE110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replace worn-out furniture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msy_mobilya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Coded from HE120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msy_otomobil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Coded from HH240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Collapsed HH020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Self-defined main activity of reference person (FK210)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reis_fk210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Near-duplicate of activity status (V =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decile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gelir_dilim10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Monotone function of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poverty gap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yoksulluk_acigi_60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Monotone function of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arrears on rent, mortgage, bills or installments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msy_borc_odeme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Union of HE010–HE030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 aged ≥65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yasli_var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of members aged 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cocuk_var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of number of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employed adult in household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calisan_yok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of employed adults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HB031 (NUTS 2) is used in LightGBM and ridge models; HB030 (NUTS 1) replaces it in the depth-3 trees and lasso models. Ordinal features enter trees as ordered numbers; nominal features enter LightGBM as native categories and other models as indicators.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Register-like subset: survey-measured features of the kind held in population, address, education or social-security registers, used for a restricted rule set; informal employment and work intensity would need linked employment records.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2026-10-31T20:29:34Z</dcterms:modified>
  <cp:category/>
</cp:coreProperties>
</file>