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S6. Design of the plasmode simulation studies.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69"/>
        <w:gridCol w:w="2975"/>
        <w:gridCol w:w="2290"/>
        <w:gridCol w:w="2912"/>
        <w:gridCol w:w="2978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Scenarios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Replicates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Data-generating model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Evaluation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S1 Panel overlap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(latent ICC 0.3, 0.6 × overlap 30%, observed, 60%)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Small LightGBM fitted to 2024–2025 meal-affordability deprivation; shared household random effect for matched 2024–2025 pairs; intercept recalibrated to the observed prevalence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with the A1 tuning (fixed trees and learning rate) trained on simulated 2024, tested on simulated 2025 (full, unmatched, and unmatched with a share of re-interviewed households left undetected); optimism = metric with shared minus independent random effects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S2 Outcome misclassification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(Se 0.80–0.95 × Sp 0.90–0.99; non-differential and income-differential) and 12 near-error-free (Se 0.98–1.00 × Sp 0.999–1.000); compatible with the observed data: 24 + 12 under design A, 12 under design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Design A: true status assigned from observed HE090 by Bayes' rule within cells of equivalized income quintile × poverty status, using each cell's observed prevalence; design B: the same Se and Sp for every household, true status assigned from the recalibrated out-of-time LightGBM probability of reporting meal-affordability deprivation; differential: Sp 5 pp lower in income quintiles 1–2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Exclusion error (simulated and closed form), meal-affordability deprivation among the poor, rule-set, LightGBM and poverty-line sensitivity recomputed with assigned true status; realized Se and Sp by decile of LightGBM risk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S3 Interval coverage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500 data sets × 200 bootstrap replicates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Pseudo-population of 2025 households with HB040 weights and calibrated LightGBM probabilities; equal-probability resampling of households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Coverage of 95% percentile household-bootstrap intervals for exclusion error, rule-set sensitivity and PPV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Seeds: scenario seed 20261101 + 1000 × scenario number; replicate seeds derived from the scenario seed; S2 design B and the added near-error-free scenarios: numpy SeedSequence (20261101, design, scenario).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2026-10-31T20:29:37Z</dcterms:modified>
  <cp:category/>
</cp:coreProperties>
</file>