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S7. Meal-affordability deprivation and exclusion error of the 60% poverty line by household characteristics,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34"/>
        <w:gridCol w:w="956"/>
        <w:gridCol w:w="2122"/>
        <w:gridCol w:w="2200"/>
        <w:gridCol w:w="2109"/>
        <w:gridCol w:w="1903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Meal-deprived, %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Exclusion error, %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Share of missed households, %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Exclusion error, persons, %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Equivalized income quintile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Q1 (lowest)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74.0 (72.5, 75.4)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 (55.8, 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96.5 (95.7, 97.3)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41.9 (40.3, 43.5)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24.0 (22.5, 25.4)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Q5 (highest)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 (3.9,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One-person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 (47.1, 50.7)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83.6 (81.9, 85.3)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 family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32.6 (30.1, 35.1)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49.2 (44.6, 53.7)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 multi-person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 (25.0, 36.2)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75.5 (66.4, 84.5)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Couple without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38.0 (36.5, 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76.9 (74.9, 78.9)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Couple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30.8 (29.9, 31.8)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 (55.7, 59.2)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 parent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46.9 (44.4, 49.3)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 (62.3, 68.5)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Children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38.7 (37.8, 39.6)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78.2 (77.1, 79.4)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 (33.5, 35.5)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51.8 (50.1, 53.6)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Member aged 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34.0 (33.2, 34.7)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66.1 (64.8, 67.4)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45.5 (44.1, 46.9)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 (70.6, 74.1)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Tenure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33.7 (32.8, 34.6)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71.2 (69.9, 72.6)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39.6 (38.3, 41.0)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62.6 (60.6, 64.7)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Employer-provided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 (8.5, 19.3)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88.9 (78.6, 99.2)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Rent-free (non-owner)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45.0 (43.2, 46.8)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 (65.7,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Employed adult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 (55.7, 58.3)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(65.7, 68.8)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 (28.6, 30.1)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 (67.3, 70.1)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working-age member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52.7 (51.3, 54.2)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77.6 (76.0, 79.2)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low (&lt;0.20)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 (56.5, 60.9)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46.1 (43.1, 49.1)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(0.20–0.45)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49.5 (47.0, 52.0)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41.6 (38.1, 45.0)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Medium (0.45–0.55)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35.0 (33.6, 36.5)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 (62.1, 66.8)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(0.55–0.85)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24.1 (22.3, 25.9)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82.3 (79.3, 85.3)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high (≥0.85)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(19.3, 21.6)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86.8 (84.9, 88.7)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Activity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28.6 (27.8, 29.5)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69.3 (67.8, 70.9)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38.8 (37.3, 40.3)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 (74.0, 77.9)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(55.7, 58.8)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 (59.0, 62.8)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Region (NUTS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Istanbul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 (29.7, 33.7)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85.4 (82.6, 88.1)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Marmara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37.5 (35.0, 40.0)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(70.8, 78.1)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Aegean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33.8 (32.1, 35.4)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 (69.8, 75.2)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East Marmara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27.2 (25.2, 29.1)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83.3 (80.1, 86.4)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31.1 (29.0, 33.1)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 (73.5, 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43.2 (41.2, 45.2)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65.2 (62.3, 68.2)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Central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37.9 (35.3, 40.5)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64.7 (60.4, 68.9)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Black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41.0 (38.8, 43.3)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 (68.2, 74.9)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East Black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48.8 (45.3, 52.3)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 (69.1, 77.6)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Northeast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42.7 (40.2, 45.2)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40.0 (36.2, 43.8)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Central East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44.6 (41.9, 47.3)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39.9 (35.9, 43.9)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Southeast Anatolia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52.8 (50.6, 55.0)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34.9 (32.1, 37.7)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Change in main activity since the income reference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 adult stopped working, none started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31.8 (29.0, 34.6)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70.9 (66.4, 75.4)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 adult started working, none stopped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41.8 (39.2, 44.3)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53.0 (49.2, 56.9)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Both changes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36.0 (27.1, 44.9)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 (59.9, 85.2)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36.9 (36.1, 37.6)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69.5 (68.4, 70.6)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determined (adult without individual record)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39.3 (27.8, 50.8)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(43.9, 78.9)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Ability to make ends meet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great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 (73.5, 79.3)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51.3 (47.5, 55.0)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55.6 (54.2, 56.9)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 (61.9, 65.4)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some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33.9 (32.9, 34.9)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72.8 (71.3, 74.3)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Fairly easily or more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14.5 (13.5, 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84.0 (81.5, 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Other deprivation items (of 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 (1.4,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93.6 (89.2, 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1–2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34.1 (32.7, 35.5)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 (82.9, 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 (74.0, 77.2)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73.8 (72.1, 75.6)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92.1 (91.2, 93.0)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54.3 (52.6, 56.0)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41.5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n, unweighted number of households; percentages and prevalences weighted. Exclusion error: % of meal-deprived households not poor. Share of missed households: distribution of meal-deprived, non-poor households across categories.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Change in main activity: adults aged ≥18 with an individual record; worked mainly in the income reference year, at least 7 months in full- or part-time work (FI260 + FI270); working at the interview, current activity status employed (FI010 1–4). Households with an adult without an individual record are not classified.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Ability to make ends meet: HE040. Other deprivation items: number of the 12 Eurostat material and social deprivation items other than the meal item that the household (reference person for personal items) lacks.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20–50 meal-deprived households in the cell; –, fewer than 20 (not shown).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Determined by construction: all households in the category lie on the same side of the poverty line.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2026-10-31T20:29:37Z</dcterms:modified>
  <cp:category/>
</cp:coreProperties>
</file>