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S9. Univariable association of features with meal-affordability deprivation (ten strongest per layer) and multivariable comparison of feature layers.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1384"/>
        <w:gridCol w:w="992"/>
        <w:gridCol w:w="1384"/>
        <w:gridCol w:w="992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All households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Non-poor households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McFadden R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 2025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McFadden R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AUC 2025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T1 Income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relative to median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decile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disposable income quintile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cost-to-income ratio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Relative poverty gap (60% threshold)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At risk of poverty (50% threshold)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Receives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cost overburden (≥40% of income)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pensions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T2 Structural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insulation for heating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T3 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Ability to make ends meet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arrears on rent, mortgage, bills or installments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utility bills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installments or loans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 income needed relative to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Burden of total housing costs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Burden of non-housing debt repayment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Arrears on rent or mortgage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T4 Deprivation items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MSD items lacking, meat item excluded (0–12)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afford one-week holiday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afford one-week holiday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face unexpected expenses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face unexpected expenses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Replaces worn-out furniture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replace worn-out furniture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 keep home adequately warm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MSD item: cannot keep home adequately warm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0.707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Personal: cannot replace worn-out 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Layer combinations (main-effects logistic, trained 2023, tested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0.801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 + 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 + T2 + 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 + T2 + T3 + 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0.941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 + T3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Univariable: weighted logistic regression per survey year (numeric features as 3-df natural splines); McFadden R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averaged over 2023–2025; weighted AUC in 2025. Exploratory output used to assign layers; not a test.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Layer combinations: McFadden R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in the 2023 training data and weighted AUC in 2025.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Screened candidate not used as a model feature (Supplementary Table S2).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2026-10-31T20:29:39Z</dcterms:modified>
  <cp:category/>
</cp:coreProperties>
</file>