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Food insecurity, income poverty and exclusion error of poverty-based identification, Turkey, 2023–2025.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8"/>
        <w:gridCol w:w="1938"/>
        <w:gridCol w:w="1938"/>
        <w:gridCol w:w="1938"/>
        <w:gridCol w:w="1974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2025 − 2023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Households (weight HB040)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 (36.7, 38.1)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38.3 (37.6, 39.0)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37.0 (36.3, 37.7)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 (−1.4, 0.6)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Income poverty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16.3 (15.8, 16.8)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16.5 (16.0,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16.0 (15.5, 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 (−1.0, 0.4)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insecure and not 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(25.6, 27.0)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26.9 (26.3,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25.2 (24.5, 25.8)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 (−2.1, −0.2)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insecurity among the poor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(66.4, 69.5)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68.8 (67.3, 70.4)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 (72.4, 75.3)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(3.7, 7.9)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 food insecure and not poor, millions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7.03 (6.84, 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7.26 (7.07, 7.45)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6.84 (6.67, 7.02)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−0.19 (−0.45, 0.07)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Exclusion error, % of food insecure not identified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60% poverty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 (69.3, 71.4)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(69.3, 71.4)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(67.0, 69.1)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(−3.8, −0.8)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50% poverty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80.9 (80.0, 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 (80.2, 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 (79.1, 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(−2.2, 0.3)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70% poverty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 (58.9, 61.2)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(58.7, 61.0)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(55.4, 57.6)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−3.6 (−5.2, −1.9)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≥5 of 12 MSD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 (55.6, 58.0)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60.8 (59.7, 62.0)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55.9 (54.7,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(−2.6, 0.7)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88.0 (87.2, 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87.5 (86.7, 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86.1 (85.4, 86.9)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−1.9 (−2.9, −0.8)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Persons (weight FK050; households as clusters)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39.1 (38.3, 40.0)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39.3 (38.5, 40.2)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35.1 (34.3, 35.9)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−4.1 (−5.2, −2.9)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Income poverty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21.3 (20.5, 22.0)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21.2 (20.5, 21.9)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20.6 (19.9, 21.3)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 (−1.7, 0.4)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insecure and not 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24.8 (24.0, 25.5)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24.8 (24.1, 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20.2 (19.6, 20.9)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−4.6 (−5.5, −3.6)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insecurity among the poor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(65.7, 69.3)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68.4 (66.6, 70.2)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 (70.2, 73.8)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 (2.0, 7.0)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(&lt;18 years) in food-insecure households,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43.9 (42.6, 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43.5 (42.3, 44.8)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39.2 (38.0, 40.5)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−4.6 (−6.4, −2.9)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 whom not poor,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49.8 (47.8, 51.8)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48.7 (46.7, 50.7)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42.7 (40.7, 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−7.1 (−10.0, −4.3)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in food-insecure, non-poor households, millions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4.90 (4.65, 5.16)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4.69 (4.44, 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3.62 (3.40, 3.83)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−1.28 (−1.62, −0.95)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Exclusion error, % of food insecure not identified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60% poverty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 (61.9, 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 (61.8, 64.5)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(56.3, 59.0)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−5.7 (−7.6, −3.7)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50% poverty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75.4 (74.2, 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 (73.9, 76.4)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71.7 (70.4, 73.0)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−3.7 (−5.5, −2.0)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70% poverty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52.7 (51.3, 54.1)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52.5 (51.1, 53.9)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45.1 (43.8, 46.4)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−7.6 (−9.5, −5.6)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≥5 of 12 MSD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52.0 (50.6, 53.5)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(55.2, 58.0)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53.0 (51.6, 54.4)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(−1.0, 2.9)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89.0 (88.2, 89.8)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87.6 (86.8, 88.5)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85.4 (84.5, 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−3.6 (−4.8, −2.4)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gradient of food insecurity (households)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Non-linearity in log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 = 23.6 (p &lt;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 = 17.2 (p &lt;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 = 48.4 (p &lt;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 at the 60% threshold, percentage points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(2.0, 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 (0.6, 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(1.2,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Step, seven-knot spline (sensitivity)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 (−4.9,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(−4.5,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 (−2.5, 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Step, piecewise-linear (sensitivity)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 (−2.4,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(−2.2,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(−5.0,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 in the shape of the income curve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 = 38.0 (p &lt; 0.001)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Estimates are weighted percentages (95% CI) unless stated otherwise; 24,932, 25,925 and 25,836 households in 2023, 2024 and 2025. Food insecurity: household cannot afford a meal with meat, chicken or fish (or vegetarian equivalent) every second day (HE090). Exclusion error: share of food-insecure households (persons) not identified by the threshold.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Taylor-linearization intervals with households as units; the area-level clustering of the survey sample is not identified in the files, so intervals are approximate (design-effect sensitivity in Supplementary Table S8). Differences assume independent samples. 2023 contains no households from TR63.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MSD, material and social deprivation; 12 of the 13 Eurostat items (meat item excluded).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Income gradient: survey-weighted logistic regression of food insecurity on log relative income (restricted cubic spline, five knots). Non-linearity: Wald test of the three non-linear terms. Step: indicator for income below the 60% line added to the spline; difference in predicted probability at the line (sensitivity: seven knots, and a piecewise-linear model with a slope change and a jump at the line). Knots at quantiles of pooled 2023–2025 log relative income. Change in shape: Wald test of the year interaction with the slope and spline terms, 2023 and 2025 pooled; the test treats the two years as independent samples, although at least 42% of 2025 households were matched to a 2023 household, and ignores area clustering, so its p value is optimistic.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2026-10-27T10:28:57Z</dcterms:modified>
  <cp:category/>
</cp:coreProperties>
</file>