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3. Share of food-insecure households identified by alternative targeting rules at equal targeting rates, 2025 test set.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63"/>
        <w:gridCol w:w="1661"/>
        <w:gridCol w:w="898"/>
        <w:gridCol w:w="1169"/>
        <w:gridCol w:w="1715"/>
        <w:gridCol w:w="1661"/>
        <w:gridCol w:w="898"/>
        <w:gridCol w:w="1661"/>
      </w:tblGrid>
      <w:tr>
        <w:trPr>
          <w:trHeight w:val="41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Targeting rate = poverty rate (15.4%)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Targeting rate 30%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Targeting rate = FI prevalence (39.3%)</w:t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Method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PPV,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Children,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 sensitivity, pp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PPV, %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 = PPV, %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Thresholds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Poverty line (60% of median income)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 (27.9, 31.4)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Ranking by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 (27.9, 31.4)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53.0 (51.5, 54.6)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65.9 (64.3, 67.4)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Sparse rules,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28.7 (27.2, 30.2)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 (−2.5,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48.0 (46.6, 49.4)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(61.2, 64.9)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register-like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28.3 (26.6, 29.9)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−1.3 (−2.4, −0.2)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52.8 (51.4, 54.3)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(66.6, 70.0)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30.4 (28.8, 32.0)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(−0.6,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54.9 (53.4, 56.6)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 (66.5, 69.7)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Sparse rules,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 (27.9, 31.4)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(−0.3,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51.3 (49.9, 52.7)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63.6 (62.1, 65.1)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 (31.3, 35.0)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(2.6,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58.5 (56.7, 60.0)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 (70.2, 73.4)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Prediction models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(linear),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(31.7, 35.3)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 (2.9,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 (56.2, 59.4)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 (69.5, 72.6)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(splines),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 (31.3, 34.9)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(2.4,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 (55.8, 59.2)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 (69.4, 72.6)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register-like subset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30.6 (28.7, 32.4)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 (−0.3,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 (53.2, 56.4)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66.8 (65.2, 68.5)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 (29.7, 33.2)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 (0.6,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54.1 (52.6, 55.7)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66.9 (65.2, 68.4)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 (31.4, 35.1)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(2.6,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57.7 (56.1, 59.2)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70.9 (69.2, 72.4)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34.5 (32.7, 36.3)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 (3.8,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61.0 (59.3, 62.6)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74.1 (72.6, 75.6)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Poverty line plus top-up among non-poor 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Poverty line + tree among non-poor (structural)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52.3 (50.9, 53.7)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(63.4, 66.5)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Poverty line + LightGBM among non-poor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57.0 (55.3, 58.5)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70.2 (68.6, 71.6)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Upper bound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Perfect ranking (ceiling)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39.1 (36.9, 41.3)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76.3 (73.9, 78.8)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Models were trained on the 2023 and 2024 surveys and evaluated on 7,861 households of the 2025 survey that could not be matched to a 2023 or 2024 household by member signature or reference-person key (Supplementary Table S3); weights HB040.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Sensitivity: weighted share of food-insecure households selected (95% CI, household bootstrap, 8,000 replicates; intervals conditional on the fitted models). PPV: share of selected households that are food insecure. Children: share of children living in food-insecure households who are selected.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Δ: paired bootstrap difference from the poverty line. Targeting rules select the highest-scoring households until the targeting rate is reached; households tied at the cut-off (for a tree, a whole leaf) are selected fractionally, i.e., with expected random tie-breaking. –, not applicable (the poverty line has a fixed targeting rate) or identical to the poverty line by construction.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Register-like subset: survey-measured features of the kind held in population, address, education or social-security registers (household composition, counts of employed, unemployed, retired and informally employed adults, work intensity, education, region, household type, dwelling type, tenure, car ownership, characteristics of the reference person); the structural set additionally contains self-reported housing and health items. Ridge logistic: linear terms only, or cubic B-splines with five quantile knots for continuous features. Lasso logistic: at most six variables selected on the L1 path, coefficients re-estimated with a minimal penalty (relaxed lasso). Rule set: depth-3 classification tree whose leaves are selected in order of training-year prevalence.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Perfect ranking selects food-insecure households first; at a targeting rate below the prevalence its sensitivity equals the targeting rate divided by the prevalence.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2026-10-27T16:58:29Z</dcterms:modified>
  <cp:category/>
</cp:coreProperties>
</file>